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eastAsia="华康简魏碑"/>
          <w:b/>
          <w:bCs/>
          <w:spacing w:val="80"/>
          <w:sz w:val="30"/>
        </w:rPr>
      </w:pPr>
    </w:p>
    <w:p>
      <w:pPr>
        <w:spacing w:line="800" w:lineRule="exact"/>
        <w:rPr>
          <w:rFonts w:ascii="华康简魏碑" w:hAnsi="Courier New" w:eastAsia="华康简魏碑"/>
          <w:b/>
          <w:bCs/>
          <w:spacing w:val="80"/>
          <w:sz w:val="64"/>
          <w:szCs w:val="20"/>
        </w:rPr>
      </w:pPr>
    </w:p>
    <w:p>
      <w:pPr>
        <w:spacing w:line="800" w:lineRule="exact"/>
        <w:rPr>
          <w:rFonts w:ascii="华康简魏碑" w:hAnsi="Courier New" w:eastAsia="华康简魏碑"/>
          <w:b/>
          <w:bCs/>
          <w:spacing w:val="80"/>
          <w:sz w:val="64"/>
          <w:szCs w:val="20"/>
        </w:rPr>
      </w:pPr>
    </w:p>
    <w:p>
      <w:pPr>
        <w:spacing w:line="800" w:lineRule="exact"/>
        <w:jc w:val="center"/>
        <w:rPr>
          <w:rFonts w:eastAsia="方正小标宋简体"/>
          <w:spacing w:val="80"/>
          <w:sz w:val="44"/>
          <w:szCs w:val="44"/>
        </w:rPr>
      </w:pPr>
      <w:r>
        <w:rPr>
          <w:rFonts w:eastAsia="方正小标宋简体"/>
          <w:spacing w:val="80"/>
          <w:sz w:val="44"/>
          <w:szCs w:val="44"/>
        </w:rPr>
        <w:t>塑碗前包装装篮自动化设备采购</w:t>
      </w:r>
    </w:p>
    <w:p>
      <w:pPr>
        <w:spacing w:line="800" w:lineRule="exact"/>
        <w:jc w:val="center"/>
        <w:rPr>
          <w:rFonts w:eastAsia="方正小标宋简体"/>
          <w:spacing w:val="80"/>
          <w:sz w:val="44"/>
          <w:szCs w:val="44"/>
        </w:rPr>
      </w:pPr>
      <w:r>
        <w:rPr>
          <w:rFonts w:hint="eastAsia" w:eastAsia="方正小标宋简体"/>
          <w:spacing w:val="80"/>
          <w:sz w:val="44"/>
          <w:szCs w:val="44"/>
          <w:lang w:eastAsia="zh-CN"/>
        </w:rPr>
        <w:t>（</w:t>
      </w:r>
      <w:r>
        <w:rPr>
          <w:rFonts w:eastAsia="方正小标宋简体"/>
          <w:spacing w:val="80"/>
          <w:sz w:val="44"/>
          <w:szCs w:val="44"/>
        </w:rPr>
        <w:t>SQ-202502</w:t>
      </w:r>
      <w:r>
        <w:rPr>
          <w:rFonts w:hint="eastAsia" w:eastAsia="方正小标宋简体"/>
          <w:spacing w:val="80"/>
          <w:sz w:val="44"/>
          <w:szCs w:val="44"/>
          <w:lang w:eastAsia="zh-CN"/>
        </w:rPr>
        <w:t>）</w:t>
      </w:r>
      <w:r>
        <w:rPr>
          <w:rFonts w:eastAsia="方正小标宋简体"/>
          <w:spacing w:val="80"/>
          <w:sz w:val="44"/>
          <w:szCs w:val="44"/>
        </w:rPr>
        <w:t>项目</w:t>
      </w:r>
    </w:p>
    <w:p>
      <w:pPr>
        <w:spacing w:line="800" w:lineRule="exact"/>
        <w:jc w:val="center"/>
        <w:rPr>
          <w:rFonts w:eastAsia="方正小标宋简体"/>
          <w:w w:val="95"/>
          <w:sz w:val="44"/>
          <w:szCs w:val="44"/>
        </w:rPr>
      </w:pPr>
      <w:r>
        <w:rPr>
          <w:rFonts w:eastAsia="方正小标宋简体"/>
          <w:spacing w:val="80"/>
          <w:sz w:val="44"/>
          <w:szCs w:val="44"/>
        </w:rPr>
        <w:t>比选方案</w:t>
      </w:r>
    </w:p>
    <w:p>
      <w:pPr>
        <w:pStyle w:val="13"/>
        <w:tabs>
          <w:tab w:val="left" w:pos="4500"/>
          <w:tab w:val="center" w:pos="4819"/>
        </w:tabs>
        <w:spacing w:line="800" w:lineRule="exact"/>
        <w:jc w:val="left"/>
        <w:rPr>
          <w:rFonts w:ascii="Times New Roman" w:hAnsi="Times New Roman" w:eastAsia="方正小标宋简体"/>
          <w:b/>
          <w:sz w:val="36"/>
          <w:szCs w:val="36"/>
        </w:rPr>
      </w:pPr>
      <w:r>
        <w:rPr>
          <w:rFonts w:ascii="Times New Roman" w:hAnsi="Times New Roman" w:eastAsia="方正小标宋简体"/>
          <w:b/>
          <w:sz w:val="36"/>
          <w:szCs w:val="36"/>
        </w:rPr>
        <w:tab/>
      </w:r>
    </w:p>
    <w:p>
      <w:pPr>
        <w:pStyle w:val="13"/>
        <w:spacing w:line="800" w:lineRule="exact"/>
        <w:jc w:val="center"/>
        <w:rPr>
          <w:rFonts w:ascii="Times New Roman" w:hAnsi="Times New Roman" w:eastAsia="方正小标宋简体"/>
          <w:b/>
          <w:sz w:val="36"/>
          <w:szCs w:val="36"/>
        </w:rPr>
      </w:pPr>
    </w:p>
    <w:p>
      <w:pPr>
        <w:pStyle w:val="13"/>
        <w:spacing w:line="800" w:lineRule="exact"/>
        <w:jc w:val="center"/>
        <w:rPr>
          <w:rFonts w:ascii="Times New Roman" w:hAnsi="Times New Roman" w:eastAsia="方正小标宋简体"/>
          <w:b/>
          <w:sz w:val="36"/>
          <w:szCs w:val="36"/>
        </w:rPr>
      </w:pPr>
    </w:p>
    <w:p>
      <w:pPr>
        <w:pStyle w:val="13"/>
        <w:spacing w:line="800" w:lineRule="exact"/>
        <w:jc w:val="center"/>
        <w:rPr>
          <w:rFonts w:ascii="Times New Roman" w:hAnsi="Times New Roman" w:eastAsia="方正小标宋简体"/>
          <w:b/>
          <w:sz w:val="36"/>
          <w:szCs w:val="36"/>
        </w:rPr>
      </w:pPr>
    </w:p>
    <w:p>
      <w:pPr>
        <w:pStyle w:val="13"/>
        <w:spacing w:line="800" w:lineRule="exact"/>
        <w:jc w:val="center"/>
        <w:rPr>
          <w:rFonts w:ascii="Times New Roman" w:hAnsi="Times New Roman" w:eastAsia="方正小标宋简体"/>
          <w:b/>
          <w:sz w:val="36"/>
          <w:szCs w:val="36"/>
        </w:rPr>
      </w:pPr>
    </w:p>
    <w:p>
      <w:pPr>
        <w:pStyle w:val="13"/>
        <w:spacing w:line="800" w:lineRule="exact"/>
        <w:jc w:val="center"/>
        <w:rPr>
          <w:rFonts w:ascii="Times New Roman" w:hAnsi="Times New Roman" w:eastAsia="方正小标宋简体"/>
          <w:b/>
          <w:sz w:val="36"/>
          <w:szCs w:val="36"/>
        </w:rPr>
      </w:pPr>
    </w:p>
    <w:p>
      <w:pPr>
        <w:spacing w:line="800" w:lineRule="exact"/>
        <w:jc w:val="center"/>
        <w:rPr>
          <w:rFonts w:eastAsia="方正小标宋简体"/>
          <w:spacing w:val="80"/>
          <w:sz w:val="44"/>
          <w:szCs w:val="44"/>
        </w:rPr>
      </w:pPr>
      <w:r>
        <w:rPr>
          <w:rFonts w:eastAsia="方正小标宋简体"/>
          <w:spacing w:val="80"/>
          <w:sz w:val="44"/>
          <w:szCs w:val="44"/>
        </w:rPr>
        <w:t>广西双钱健康产业股份有限公司</w:t>
      </w:r>
    </w:p>
    <w:p>
      <w:pPr>
        <w:spacing w:line="800" w:lineRule="exact"/>
        <w:jc w:val="center"/>
        <w:rPr>
          <w:rFonts w:eastAsia="方正小标宋简体"/>
          <w:spacing w:val="80"/>
          <w:sz w:val="44"/>
          <w:szCs w:val="44"/>
        </w:rPr>
      </w:pPr>
      <w:r>
        <w:rPr>
          <w:rFonts w:eastAsia="方正小标宋简体"/>
          <w:spacing w:val="80"/>
          <w:sz w:val="44"/>
          <w:szCs w:val="44"/>
        </w:rPr>
        <w:t>2025年5月</w:t>
      </w:r>
    </w:p>
    <w:p>
      <w:pPr>
        <w:pStyle w:val="13"/>
        <w:spacing w:line="800" w:lineRule="exact"/>
        <w:jc w:val="center"/>
        <w:rPr>
          <w:rFonts w:hint="eastAsia" w:hAnsi="宋体"/>
          <w:b/>
          <w:sz w:val="36"/>
          <w:szCs w:val="36"/>
        </w:rPr>
        <w:sectPr>
          <w:headerReference r:id="rId5" w:type="default"/>
          <w:footerReference r:id="rId6" w:type="default"/>
          <w:footerReference r:id="rId7" w:type="even"/>
          <w:pgSz w:w="11906" w:h="16838"/>
          <w:pgMar w:top="2098" w:right="1474" w:bottom="1985" w:left="1588" w:header="851" w:footer="1418" w:gutter="0"/>
          <w:pgNumType w:start="0"/>
          <w:cols w:space="720" w:num="1"/>
          <w:titlePg/>
          <w:docGrid w:type="lines" w:linePitch="331" w:charSpace="0"/>
        </w:sectPr>
      </w:pPr>
    </w:p>
    <w:p>
      <w:pPr>
        <w:pStyle w:val="13"/>
        <w:rPr>
          <w:rFonts w:ascii="Times New Roman" w:hAnsi="Times New Roman"/>
        </w:rPr>
      </w:pPr>
    </w:p>
    <w:p>
      <w:pPr>
        <w:pStyle w:val="13"/>
        <w:jc w:val="center"/>
        <w:rPr>
          <w:rFonts w:hint="eastAsia" w:ascii="黑体" w:hAnsi="黑体" w:eastAsia="黑体"/>
          <w:bCs/>
          <w:sz w:val="48"/>
          <w:szCs w:val="48"/>
        </w:rPr>
      </w:pPr>
      <w:r>
        <w:rPr>
          <w:rFonts w:hint="eastAsia" w:ascii="黑体" w:hAnsi="黑体" w:eastAsia="黑体"/>
          <w:bCs/>
          <w:sz w:val="48"/>
          <w:szCs w:val="48"/>
        </w:rPr>
        <w:t>目     录</w:t>
      </w:r>
    </w:p>
    <w:p>
      <w:pPr>
        <w:pStyle w:val="19"/>
        <w:rPr>
          <w:bCs w:val="0"/>
          <w:caps w:val="0"/>
          <w:sz w:val="48"/>
          <w:szCs w:val="48"/>
        </w:rPr>
      </w:pPr>
    </w:p>
    <w:p>
      <w:pPr>
        <w:pStyle w:val="19"/>
        <w:tabs>
          <w:tab w:val="right" w:leader="dot" w:pos="9628"/>
        </w:tabs>
        <w:rPr>
          <w:rFonts w:ascii="Calibri" w:hAnsi="Calibri"/>
          <w:b w:val="0"/>
          <w:bCs w:val="0"/>
          <w:caps w:val="0"/>
          <w:sz w:val="21"/>
          <w:szCs w:val="22"/>
        </w:rPr>
      </w:pPr>
      <w:bookmarkStart w:id="0" w:name="_Toc139966433"/>
      <w:bookmarkStart w:id="1" w:name="_Toc139967217"/>
      <w:bookmarkStart w:id="2" w:name="_Toc213206171"/>
      <w:bookmarkStart w:id="3" w:name="_Toc139967210"/>
      <w:bookmarkStart w:id="4" w:name="_Toc139966426"/>
      <w:r>
        <w:rPr>
          <w:rFonts w:ascii="宋体" w:hAnsi="宋体"/>
          <w:b w:val="0"/>
          <w:bCs w:val="0"/>
          <w:caps w:val="0"/>
          <w:sz w:val="28"/>
          <w:szCs w:val="28"/>
        </w:rPr>
        <w:fldChar w:fldCharType="begin"/>
      </w:r>
      <w:r>
        <w:rPr>
          <w:rFonts w:ascii="宋体" w:hAnsi="宋体"/>
          <w:b w:val="0"/>
          <w:bCs w:val="0"/>
          <w:caps w:val="0"/>
          <w:sz w:val="28"/>
          <w:szCs w:val="28"/>
        </w:rPr>
        <w:instrText xml:space="preserve"> TOC \o "1-3" \h \z \u </w:instrText>
      </w:r>
      <w:r>
        <w:rPr>
          <w:rFonts w:ascii="宋体" w:hAnsi="宋体"/>
          <w:b w:val="0"/>
          <w:bCs w:val="0"/>
          <w:caps w:val="0"/>
          <w:sz w:val="28"/>
          <w:szCs w:val="28"/>
        </w:rPr>
        <w:fldChar w:fldCharType="separate"/>
      </w:r>
      <w:r>
        <w:fldChar w:fldCharType="begin"/>
      </w:r>
      <w:r>
        <w:instrText xml:space="preserve"> HYPERLINK \l "_Toc519678417" </w:instrText>
      </w:r>
      <w:r>
        <w:fldChar w:fldCharType="separate"/>
      </w:r>
      <w:r>
        <w:rPr>
          <w:rStyle w:val="35"/>
          <w:rFonts w:hint="eastAsia"/>
          <w:caps w:val="0"/>
          <w:color w:val="auto"/>
        </w:rPr>
        <w:t>第一章</w:t>
      </w:r>
      <w:r>
        <w:rPr>
          <w:rStyle w:val="35"/>
          <w:caps w:val="0"/>
          <w:color w:val="auto"/>
        </w:rPr>
        <w:t xml:space="preserve">  </w:t>
      </w:r>
      <w:r>
        <w:rPr>
          <w:rStyle w:val="35"/>
          <w:rFonts w:hint="eastAsia"/>
          <w:caps w:val="0"/>
          <w:color w:val="auto"/>
        </w:rPr>
        <w:t>公开询价比选邀请函</w:t>
      </w:r>
      <w:r>
        <w:rPr>
          <w:caps w:val="0"/>
        </w:rPr>
        <w:tab/>
      </w:r>
      <w:r>
        <w:rPr>
          <w:caps w:val="0"/>
        </w:rPr>
        <w:fldChar w:fldCharType="begin"/>
      </w:r>
      <w:r>
        <w:rPr>
          <w:caps w:val="0"/>
        </w:rPr>
        <w:instrText xml:space="preserve"> PAGEREF _Toc519678417 \h </w:instrText>
      </w:r>
      <w:r>
        <w:rPr>
          <w:caps w:val="0"/>
        </w:rPr>
        <w:fldChar w:fldCharType="separate"/>
      </w:r>
      <w:r>
        <w:rPr>
          <w:caps w:val="0"/>
        </w:rPr>
        <w:t>2</w:t>
      </w:r>
      <w:r>
        <w:rPr>
          <w:caps w:val="0"/>
        </w:rPr>
        <w:fldChar w:fldCharType="end"/>
      </w:r>
      <w:r>
        <w:rPr>
          <w:caps w:val="0"/>
        </w:rPr>
        <w:fldChar w:fldCharType="end"/>
      </w:r>
    </w:p>
    <w:p>
      <w:pPr>
        <w:pStyle w:val="19"/>
        <w:tabs>
          <w:tab w:val="right" w:leader="dot" w:pos="9628"/>
        </w:tabs>
        <w:rPr>
          <w:rFonts w:ascii="Calibri" w:hAnsi="Calibri"/>
          <w:b w:val="0"/>
          <w:bCs w:val="0"/>
          <w:caps w:val="0"/>
          <w:sz w:val="21"/>
          <w:szCs w:val="22"/>
        </w:rPr>
      </w:pPr>
      <w:r>
        <w:fldChar w:fldCharType="begin"/>
      </w:r>
      <w:r>
        <w:instrText xml:space="preserve"> HYPERLINK \l "_Toc519678418" </w:instrText>
      </w:r>
      <w:r>
        <w:fldChar w:fldCharType="separate"/>
      </w:r>
      <w:r>
        <w:rPr>
          <w:rStyle w:val="35"/>
          <w:rFonts w:hint="eastAsia"/>
          <w:caps w:val="0"/>
          <w:color w:val="auto"/>
        </w:rPr>
        <w:t>第二章</w:t>
      </w:r>
      <w:r>
        <w:rPr>
          <w:rStyle w:val="35"/>
          <w:caps w:val="0"/>
          <w:color w:val="auto"/>
        </w:rPr>
        <w:t xml:space="preserve">  </w:t>
      </w:r>
      <w:r>
        <w:rPr>
          <w:rStyle w:val="35"/>
          <w:rFonts w:hint="eastAsia"/>
          <w:caps w:val="0"/>
          <w:color w:val="auto"/>
        </w:rPr>
        <w:t>项目采购需求</w:t>
      </w:r>
      <w:r>
        <w:rPr>
          <w:caps w:val="0"/>
        </w:rPr>
        <w:tab/>
      </w:r>
      <w:r>
        <w:rPr>
          <w:caps w:val="0"/>
        </w:rPr>
        <w:fldChar w:fldCharType="begin"/>
      </w:r>
      <w:r>
        <w:rPr>
          <w:caps w:val="0"/>
        </w:rPr>
        <w:instrText xml:space="preserve"> PAGEREF _Toc519678418 \h </w:instrText>
      </w:r>
      <w:r>
        <w:rPr>
          <w:caps w:val="0"/>
        </w:rPr>
        <w:fldChar w:fldCharType="separate"/>
      </w:r>
      <w:r>
        <w:rPr>
          <w:caps w:val="0"/>
        </w:rPr>
        <w:t>3</w:t>
      </w:r>
      <w:r>
        <w:rPr>
          <w:caps w:val="0"/>
        </w:rPr>
        <w:fldChar w:fldCharType="end"/>
      </w:r>
      <w:r>
        <w:rPr>
          <w:caps w:val="0"/>
        </w:rPr>
        <w:fldChar w:fldCharType="end"/>
      </w:r>
    </w:p>
    <w:p>
      <w:pPr>
        <w:pStyle w:val="19"/>
        <w:tabs>
          <w:tab w:val="right" w:leader="dot" w:pos="9628"/>
        </w:tabs>
        <w:rPr>
          <w:rFonts w:ascii="Calibri" w:hAnsi="Calibri"/>
          <w:b w:val="0"/>
          <w:bCs w:val="0"/>
          <w:caps w:val="0"/>
          <w:sz w:val="21"/>
          <w:szCs w:val="22"/>
        </w:rPr>
      </w:pPr>
      <w:r>
        <w:fldChar w:fldCharType="begin"/>
      </w:r>
      <w:r>
        <w:instrText xml:space="preserve"> HYPERLINK \l "_Toc519678419" </w:instrText>
      </w:r>
      <w:r>
        <w:fldChar w:fldCharType="separate"/>
      </w:r>
      <w:r>
        <w:rPr>
          <w:rStyle w:val="35"/>
          <w:rFonts w:hint="eastAsia"/>
          <w:caps w:val="0"/>
          <w:color w:val="auto"/>
        </w:rPr>
        <w:t>第三章</w:t>
      </w:r>
      <w:r>
        <w:rPr>
          <w:rStyle w:val="35"/>
          <w:caps w:val="0"/>
          <w:color w:val="auto"/>
        </w:rPr>
        <w:t xml:space="preserve">  </w:t>
      </w:r>
      <w:r>
        <w:rPr>
          <w:rStyle w:val="35"/>
          <w:rFonts w:hint="eastAsia"/>
          <w:caps w:val="0"/>
          <w:color w:val="auto"/>
        </w:rPr>
        <w:t>评审办法</w:t>
      </w:r>
      <w:r>
        <w:rPr>
          <w:caps w:val="0"/>
        </w:rPr>
        <w:tab/>
      </w:r>
      <w:r>
        <w:rPr>
          <w:rFonts w:hint="eastAsia"/>
          <w:caps w:val="0"/>
        </w:rPr>
        <w:t>7</w:t>
      </w:r>
      <w:r>
        <w:rPr>
          <w:rFonts w:hint="eastAsia"/>
          <w:caps w:val="0"/>
        </w:rPr>
        <w:fldChar w:fldCharType="end"/>
      </w:r>
    </w:p>
    <w:p>
      <w:pPr>
        <w:pStyle w:val="19"/>
        <w:tabs>
          <w:tab w:val="right" w:leader="dot" w:pos="9628"/>
        </w:tabs>
        <w:rPr>
          <w:rFonts w:ascii="Calibri" w:hAnsi="Calibri"/>
          <w:b w:val="0"/>
          <w:bCs w:val="0"/>
          <w:caps w:val="0"/>
          <w:sz w:val="21"/>
          <w:szCs w:val="22"/>
        </w:rPr>
      </w:pPr>
      <w:r>
        <w:fldChar w:fldCharType="begin"/>
      </w:r>
      <w:r>
        <w:instrText xml:space="preserve"> HYPERLINK \l "_Toc519678420" </w:instrText>
      </w:r>
      <w:r>
        <w:fldChar w:fldCharType="separate"/>
      </w:r>
      <w:r>
        <w:rPr>
          <w:rStyle w:val="35"/>
          <w:rFonts w:hint="eastAsia"/>
          <w:caps w:val="0"/>
          <w:color w:val="auto"/>
        </w:rPr>
        <w:t>第四章</w:t>
      </w:r>
      <w:r>
        <w:rPr>
          <w:rStyle w:val="35"/>
          <w:caps w:val="0"/>
          <w:color w:val="auto"/>
        </w:rPr>
        <w:t xml:space="preserve">  </w:t>
      </w:r>
      <w:r>
        <w:rPr>
          <w:rStyle w:val="35"/>
          <w:rFonts w:hint="eastAsia"/>
          <w:caps w:val="0"/>
          <w:color w:val="auto"/>
        </w:rPr>
        <w:t>文件格式</w:t>
      </w:r>
      <w:r>
        <w:rPr>
          <w:caps w:val="0"/>
        </w:rPr>
        <w:tab/>
      </w:r>
      <w:r>
        <w:rPr>
          <w:caps w:val="0"/>
        </w:rPr>
        <w:fldChar w:fldCharType="begin"/>
      </w:r>
      <w:r>
        <w:rPr>
          <w:caps w:val="0"/>
        </w:rPr>
        <w:instrText xml:space="preserve"> PAGEREF _Toc519678420 \h </w:instrText>
      </w:r>
      <w:r>
        <w:rPr>
          <w:caps w:val="0"/>
        </w:rPr>
        <w:fldChar w:fldCharType="separate"/>
      </w:r>
      <w:r>
        <w:rPr>
          <w:caps w:val="0"/>
        </w:rPr>
        <w:t>1</w:t>
      </w:r>
      <w:r>
        <w:rPr>
          <w:caps w:val="0"/>
        </w:rPr>
        <w:fldChar w:fldCharType="end"/>
      </w:r>
      <w:r>
        <w:rPr>
          <w:caps w:val="0"/>
        </w:rPr>
        <w:fldChar w:fldCharType="end"/>
      </w:r>
    </w:p>
    <w:p>
      <w:pPr>
        <w:pStyle w:val="19"/>
        <w:tabs>
          <w:tab w:val="right" w:leader="dot" w:pos="9628"/>
        </w:tabs>
        <w:rPr>
          <w:rFonts w:ascii="Calibri" w:hAnsi="Calibri"/>
          <w:b w:val="0"/>
          <w:bCs w:val="0"/>
          <w:caps w:val="0"/>
          <w:sz w:val="21"/>
          <w:szCs w:val="22"/>
        </w:rPr>
      </w:pPr>
      <w:r>
        <w:fldChar w:fldCharType="begin"/>
      </w:r>
      <w:r>
        <w:instrText xml:space="preserve"> HYPERLINK \l "_Toc519678421" </w:instrText>
      </w:r>
      <w:r>
        <w:fldChar w:fldCharType="separate"/>
      </w:r>
      <w:r>
        <w:rPr>
          <w:rStyle w:val="35"/>
          <w:rFonts w:hint="eastAsia"/>
          <w:caps w:val="0"/>
          <w:color w:val="auto"/>
        </w:rPr>
        <w:t>第五章</w:t>
      </w:r>
      <w:r>
        <w:rPr>
          <w:rStyle w:val="35"/>
          <w:caps w:val="0"/>
          <w:color w:val="auto"/>
        </w:rPr>
        <w:t xml:space="preserve">  </w:t>
      </w:r>
      <w:r>
        <w:rPr>
          <w:rStyle w:val="35"/>
          <w:rFonts w:hint="eastAsia"/>
          <w:caps w:val="0"/>
          <w:color w:val="auto"/>
        </w:rPr>
        <w:t>合同条款及格式</w:t>
      </w:r>
      <w:r>
        <w:rPr>
          <w:caps w:val="0"/>
        </w:rPr>
        <w:tab/>
      </w:r>
      <w:r>
        <w:rPr>
          <w:caps w:val="0"/>
        </w:rPr>
        <w:fldChar w:fldCharType="begin"/>
      </w:r>
      <w:r>
        <w:rPr>
          <w:caps w:val="0"/>
        </w:rPr>
        <w:instrText xml:space="preserve"> PAGEREF _Toc519678421 \h </w:instrText>
      </w:r>
      <w:r>
        <w:rPr>
          <w:caps w:val="0"/>
        </w:rPr>
        <w:fldChar w:fldCharType="separate"/>
      </w:r>
      <w:r>
        <w:rPr>
          <w:caps w:val="0"/>
        </w:rPr>
        <w:t>9</w:t>
      </w:r>
      <w:r>
        <w:rPr>
          <w:caps w:val="0"/>
        </w:rPr>
        <w:fldChar w:fldCharType="end"/>
      </w:r>
      <w:r>
        <w:rPr>
          <w:caps w:val="0"/>
        </w:rPr>
        <w:fldChar w:fldCharType="end"/>
      </w:r>
    </w:p>
    <w:p>
      <w:pPr>
        <w:pStyle w:val="13"/>
        <w:jc w:val="center"/>
        <w:rPr>
          <w:rFonts w:hint="eastAsia" w:hAnsi="宋体"/>
          <w:b/>
          <w:bCs/>
          <w:sz w:val="28"/>
          <w:szCs w:val="28"/>
        </w:rPr>
      </w:pPr>
      <w:r>
        <w:rPr>
          <w:rFonts w:hAnsi="宋体"/>
          <w:b/>
          <w:bCs/>
          <w:sz w:val="28"/>
          <w:szCs w:val="28"/>
        </w:rPr>
        <w:fldChar w:fldCharType="end"/>
      </w:r>
      <w:bookmarkStart w:id="5" w:name="_Toc213325920"/>
    </w:p>
    <w:p>
      <w:pPr>
        <w:pStyle w:val="13"/>
        <w:jc w:val="center"/>
        <w:rPr>
          <w:rFonts w:hint="eastAsia" w:hAnsi="宋体"/>
          <w:b/>
          <w:bCs/>
          <w:sz w:val="28"/>
          <w:szCs w:val="28"/>
        </w:rPr>
      </w:pPr>
    </w:p>
    <w:p>
      <w:pPr>
        <w:pStyle w:val="13"/>
        <w:jc w:val="center"/>
        <w:rPr>
          <w:rFonts w:hint="eastAsia" w:hAnsi="宋体"/>
          <w:b/>
          <w:bCs/>
          <w:sz w:val="28"/>
          <w:szCs w:val="28"/>
        </w:rPr>
      </w:pPr>
    </w:p>
    <w:p>
      <w:pPr>
        <w:pStyle w:val="13"/>
        <w:jc w:val="center"/>
        <w:rPr>
          <w:rFonts w:hint="eastAsia" w:hAnsi="宋体"/>
          <w:b/>
          <w:bCs/>
          <w:sz w:val="28"/>
          <w:szCs w:val="28"/>
        </w:rPr>
      </w:pPr>
    </w:p>
    <w:p>
      <w:pPr>
        <w:pStyle w:val="13"/>
        <w:jc w:val="center"/>
        <w:rPr>
          <w:rFonts w:hint="eastAsia" w:hAnsi="宋体"/>
          <w:b/>
          <w:bCs/>
          <w:sz w:val="28"/>
          <w:szCs w:val="28"/>
        </w:rPr>
      </w:pPr>
    </w:p>
    <w:p>
      <w:pPr>
        <w:pStyle w:val="13"/>
        <w:jc w:val="center"/>
        <w:rPr>
          <w:rFonts w:hint="eastAsia" w:hAnsi="宋体"/>
          <w:b/>
          <w:bCs/>
          <w:sz w:val="28"/>
          <w:szCs w:val="28"/>
        </w:rPr>
      </w:pPr>
    </w:p>
    <w:p>
      <w:pPr>
        <w:pStyle w:val="13"/>
        <w:jc w:val="center"/>
        <w:rPr>
          <w:rFonts w:hint="eastAsia" w:hAnsi="宋体"/>
          <w:b/>
          <w:bCs/>
          <w:sz w:val="28"/>
          <w:szCs w:val="28"/>
        </w:rPr>
      </w:pPr>
    </w:p>
    <w:p>
      <w:pPr>
        <w:pStyle w:val="13"/>
        <w:jc w:val="center"/>
        <w:rPr>
          <w:rFonts w:hint="eastAsia" w:hAnsi="宋体"/>
          <w:b/>
          <w:bCs/>
          <w:sz w:val="28"/>
          <w:szCs w:val="28"/>
        </w:rPr>
      </w:pPr>
    </w:p>
    <w:p>
      <w:pPr>
        <w:pStyle w:val="13"/>
        <w:jc w:val="center"/>
        <w:rPr>
          <w:rFonts w:hint="eastAsia" w:hAnsi="宋体"/>
          <w:b/>
          <w:bCs/>
          <w:sz w:val="28"/>
          <w:szCs w:val="28"/>
        </w:rPr>
      </w:pPr>
    </w:p>
    <w:p>
      <w:pPr>
        <w:pStyle w:val="13"/>
        <w:jc w:val="center"/>
        <w:rPr>
          <w:rFonts w:hint="eastAsia" w:hAnsi="宋体"/>
          <w:b/>
          <w:bCs/>
          <w:sz w:val="28"/>
          <w:szCs w:val="28"/>
        </w:rPr>
      </w:pPr>
    </w:p>
    <w:p>
      <w:pPr>
        <w:pStyle w:val="13"/>
        <w:jc w:val="center"/>
        <w:rPr>
          <w:rFonts w:hint="eastAsia" w:hAnsi="宋体"/>
          <w:b/>
          <w:bCs/>
          <w:sz w:val="28"/>
          <w:szCs w:val="28"/>
        </w:rPr>
      </w:pPr>
    </w:p>
    <w:p>
      <w:pPr>
        <w:pStyle w:val="13"/>
        <w:spacing w:line="560" w:lineRule="exact"/>
        <w:contextualSpacing/>
        <w:jc w:val="center"/>
        <w:rPr>
          <w:rFonts w:ascii="Times New Roman" w:hAnsi="Times New Roman" w:eastAsia="方正小标宋简体" w:cs="Arial"/>
          <w:bCs/>
          <w:sz w:val="44"/>
          <w:szCs w:val="44"/>
        </w:rPr>
      </w:pPr>
      <w:r>
        <w:rPr>
          <w:rFonts w:hAnsi="宋体"/>
          <w:b/>
          <w:bCs/>
          <w:sz w:val="28"/>
          <w:szCs w:val="28"/>
        </w:rPr>
        <w:br w:type="page"/>
      </w:r>
      <w:bookmarkEnd w:id="0"/>
      <w:bookmarkEnd w:id="1"/>
      <w:bookmarkEnd w:id="2"/>
      <w:bookmarkEnd w:id="5"/>
      <w:bookmarkStart w:id="6" w:name="_Toc519678417"/>
      <w:r>
        <w:rPr>
          <w:rFonts w:hint="eastAsia" w:ascii="Times New Roman" w:hAnsi="Times New Roman" w:eastAsia="方正小标宋简体"/>
          <w:bCs/>
          <w:sz w:val="44"/>
          <w:szCs w:val="44"/>
        </w:rPr>
        <w:t>第一章 公开询价比选邀请函</w:t>
      </w:r>
      <w:bookmarkEnd w:id="6"/>
    </w:p>
    <w:p>
      <w:pPr>
        <w:pStyle w:val="67"/>
        <w:widowControl w:val="0"/>
        <w:spacing w:afterLines="0" w:line="560" w:lineRule="exact"/>
        <w:ind w:firstLine="640"/>
        <w:contextualSpacing/>
        <w:rPr>
          <w:sz w:val="32"/>
          <w:szCs w:val="32"/>
        </w:rPr>
      </w:pPr>
      <w:bookmarkStart w:id="7" w:name="_Toc139967215"/>
      <w:bookmarkStart w:id="8" w:name="_Toc139966431"/>
      <w:bookmarkStart w:id="9" w:name="_Toc213206172"/>
      <w:bookmarkStart w:id="10" w:name="_Toc213325921"/>
    </w:p>
    <w:p>
      <w:pPr>
        <w:pStyle w:val="67"/>
        <w:widowControl w:val="0"/>
        <w:spacing w:afterLines="0" w:line="560" w:lineRule="exact"/>
        <w:ind w:firstLine="640"/>
        <w:contextualSpacing/>
        <w:rPr>
          <w:rFonts w:eastAsia="仿宋_GB2312"/>
          <w:sz w:val="32"/>
          <w:szCs w:val="32"/>
          <w:u w:val="thick"/>
        </w:rPr>
      </w:pPr>
      <w:r>
        <w:rPr>
          <w:rFonts w:hint="eastAsia" w:eastAsia="仿宋_GB2312"/>
          <w:sz w:val="32"/>
          <w:szCs w:val="32"/>
        </w:rPr>
        <w:t>我司拟对</w:t>
      </w:r>
      <w:r>
        <w:rPr>
          <w:rFonts w:hint="eastAsia" w:eastAsia="仿宋_GB2312" w:cs="Arial"/>
          <w:sz w:val="32"/>
          <w:szCs w:val="32"/>
        </w:rPr>
        <w:t>塑碗前包装装篮自动化设备采购</w:t>
      </w:r>
      <w:r>
        <w:rPr>
          <w:rFonts w:hint="eastAsia" w:eastAsia="仿宋_GB2312"/>
          <w:sz w:val="32"/>
          <w:szCs w:val="32"/>
        </w:rPr>
        <w:t>项目进行公开询价比选邀请，现诚邀贵公司就本项目提供报价及初步方案，便于我公司比选确定合作单位，请贵公司收到此函后及时回复是否参与报价比选。</w:t>
      </w:r>
    </w:p>
    <w:p>
      <w:pPr>
        <w:snapToGrid w:val="0"/>
        <w:spacing w:line="560" w:lineRule="exact"/>
        <w:ind w:firstLine="640" w:firstLineChars="200"/>
        <w:contextualSpacing/>
        <w:rPr>
          <w:rFonts w:eastAsia="黑体"/>
          <w:sz w:val="32"/>
          <w:szCs w:val="32"/>
        </w:rPr>
      </w:pPr>
      <w:r>
        <w:rPr>
          <w:rFonts w:eastAsia="黑体"/>
          <w:sz w:val="32"/>
          <w:szCs w:val="32"/>
        </w:rPr>
        <w:t>一、项目名称</w:t>
      </w:r>
    </w:p>
    <w:p>
      <w:pPr>
        <w:snapToGrid w:val="0"/>
        <w:spacing w:line="560" w:lineRule="exact"/>
        <w:ind w:firstLine="640" w:firstLineChars="200"/>
        <w:contextualSpacing/>
        <w:rPr>
          <w:rFonts w:eastAsia="仿宋_GB2312"/>
          <w:b/>
          <w:bCs/>
          <w:sz w:val="32"/>
          <w:szCs w:val="32"/>
        </w:rPr>
      </w:pPr>
      <w:r>
        <w:rPr>
          <w:rFonts w:hint="eastAsia" w:eastAsia="仿宋_GB2312"/>
          <w:sz w:val="32"/>
          <w:szCs w:val="32"/>
        </w:rPr>
        <w:t>塑碗前包装装篮自动化设备采购（编号：SQ-202502）项目</w:t>
      </w:r>
    </w:p>
    <w:p>
      <w:pPr>
        <w:snapToGrid w:val="0"/>
        <w:spacing w:line="560" w:lineRule="exact"/>
        <w:ind w:firstLine="640" w:firstLineChars="200"/>
        <w:contextualSpacing/>
        <w:rPr>
          <w:rFonts w:hint="eastAsia" w:ascii="黑体" w:hAnsi="黑体" w:eastAsia="黑体"/>
          <w:bCs/>
          <w:sz w:val="32"/>
          <w:szCs w:val="32"/>
        </w:rPr>
      </w:pPr>
      <w:r>
        <w:rPr>
          <w:rFonts w:ascii="黑体" w:hAnsi="黑体" w:eastAsia="黑体"/>
          <w:bCs/>
          <w:sz w:val="32"/>
          <w:szCs w:val="32"/>
        </w:rPr>
        <w:t>二、采购内容</w:t>
      </w:r>
    </w:p>
    <w:p>
      <w:pPr>
        <w:snapToGrid w:val="0"/>
        <w:spacing w:line="560" w:lineRule="exact"/>
        <w:ind w:firstLine="640" w:firstLineChars="200"/>
        <w:contextualSpacing/>
        <w:rPr>
          <w:rFonts w:eastAsia="仿宋_GB2312"/>
          <w:sz w:val="32"/>
          <w:szCs w:val="32"/>
        </w:rPr>
      </w:pPr>
      <w:r>
        <w:rPr>
          <w:rFonts w:eastAsia="仿宋_GB2312"/>
          <w:sz w:val="32"/>
          <w:szCs w:val="32"/>
        </w:rPr>
        <w:t>根据广西双钱健康产业股份有限公司的生产要求，拟</w:t>
      </w:r>
      <w:r>
        <w:rPr>
          <w:rFonts w:eastAsia="仿宋_GB2312"/>
          <w:sz w:val="32"/>
          <w:szCs w:val="32"/>
          <w:u w:val="single"/>
        </w:rPr>
        <w:t>采购塑碗前包装装篮自动化设备采购1套</w:t>
      </w:r>
      <w:r>
        <w:rPr>
          <w:rFonts w:eastAsia="仿宋_GB2312"/>
          <w:sz w:val="32"/>
          <w:szCs w:val="32"/>
        </w:rPr>
        <w:t xml:space="preserve">。设备关键技术参数如下： </w:t>
      </w:r>
    </w:p>
    <w:p>
      <w:pPr>
        <w:snapToGrid w:val="0"/>
        <w:spacing w:line="560" w:lineRule="exact"/>
        <w:ind w:firstLine="640" w:firstLineChars="200"/>
        <w:contextualSpacing/>
        <w:rPr>
          <w:rFonts w:eastAsia="仿宋_GB2312"/>
          <w:sz w:val="32"/>
          <w:szCs w:val="32"/>
        </w:rPr>
      </w:pPr>
      <w:r>
        <w:rPr>
          <w:rFonts w:eastAsia="仿宋_GB2312"/>
          <w:sz w:val="32"/>
          <w:szCs w:val="32"/>
        </w:rPr>
        <w:t>1.设备用于塑碗龟苓膏自动装篮，装篮速度不低于400碗/min，并具备计数功能</w:t>
      </w:r>
      <w:r>
        <w:rPr>
          <w:rFonts w:hint="eastAsia" w:eastAsia="仿宋_GB2312"/>
          <w:sz w:val="32"/>
          <w:szCs w:val="32"/>
        </w:rPr>
        <w:t>；</w:t>
      </w:r>
    </w:p>
    <w:p>
      <w:pPr>
        <w:snapToGrid w:val="0"/>
        <w:spacing w:line="560" w:lineRule="exact"/>
        <w:ind w:firstLine="640" w:firstLineChars="200"/>
        <w:contextualSpacing/>
        <w:rPr>
          <w:rFonts w:eastAsia="仿宋_GB2312"/>
          <w:sz w:val="32"/>
          <w:szCs w:val="32"/>
        </w:rPr>
      </w:pPr>
      <w:r>
        <w:rPr>
          <w:rFonts w:eastAsia="仿宋_GB2312"/>
          <w:sz w:val="32"/>
          <w:szCs w:val="32"/>
        </w:rPr>
        <w:t>2.塑碗龟苓膏单碗重量分别为200g/碗、180g/碗，单个塑料篮装60碗龟苓膏</w:t>
      </w:r>
      <w:r>
        <w:rPr>
          <w:rFonts w:hint="eastAsia" w:eastAsia="仿宋_GB2312"/>
          <w:sz w:val="32"/>
          <w:szCs w:val="32"/>
        </w:rPr>
        <w:t>；</w:t>
      </w:r>
    </w:p>
    <w:p>
      <w:pPr>
        <w:snapToGrid w:val="0"/>
        <w:spacing w:line="560" w:lineRule="exact"/>
        <w:ind w:firstLine="640" w:firstLineChars="200"/>
        <w:contextualSpacing/>
        <w:rPr>
          <w:rFonts w:eastAsia="仿宋_GB2312"/>
          <w:sz w:val="32"/>
          <w:szCs w:val="32"/>
        </w:rPr>
      </w:pPr>
      <w:r>
        <w:rPr>
          <w:rFonts w:eastAsia="仿宋_GB2312"/>
          <w:sz w:val="32"/>
          <w:szCs w:val="32"/>
        </w:rPr>
        <w:t>3.设备具备自动送空篮至装篮位置功能，同时可以将满篮输送至指定位置</w:t>
      </w:r>
      <w:r>
        <w:rPr>
          <w:rFonts w:hint="eastAsia" w:eastAsia="仿宋_GB2312"/>
          <w:sz w:val="32"/>
          <w:szCs w:val="32"/>
        </w:rPr>
        <w:t>；</w:t>
      </w:r>
    </w:p>
    <w:p>
      <w:pPr>
        <w:snapToGrid w:val="0"/>
        <w:spacing w:line="560" w:lineRule="exact"/>
        <w:ind w:firstLine="640" w:firstLineChars="200"/>
        <w:contextualSpacing/>
        <w:rPr>
          <w:rFonts w:eastAsia="仿宋_GB2312"/>
          <w:sz w:val="32"/>
          <w:szCs w:val="32"/>
        </w:rPr>
      </w:pPr>
      <w:r>
        <w:rPr>
          <w:rFonts w:hint="eastAsia" w:eastAsia="仿宋_GB2312"/>
          <w:sz w:val="32"/>
          <w:szCs w:val="32"/>
        </w:rPr>
        <w:t>4</w:t>
      </w:r>
      <w:r>
        <w:rPr>
          <w:rFonts w:eastAsia="仿宋_GB2312"/>
          <w:sz w:val="32"/>
          <w:szCs w:val="32"/>
        </w:rPr>
        <w:t>.塑碗尺寸图见附件1，塑料篮尺寸图见附件2，设备安装场地图见附件3</w:t>
      </w:r>
      <w:r>
        <w:rPr>
          <w:rFonts w:hint="eastAsia" w:eastAsia="仿宋_GB2312"/>
          <w:sz w:val="32"/>
          <w:szCs w:val="32"/>
        </w:rPr>
        <w:t>；</w:t>
      </w:r>
    </w:p>
    <w:p>
      <w:pPr>
        <w:snapToGrid w:val="0"/>
        <w:spacing w:line="560" w:lineRule="exact"/>
        <w:ind w:firstLine="643" w:firstLineChars="200"/>
        <w:contextualSpacing/>
        <w:rPr>
          <w:rFonts w:eastAsia="仿宋_GB2312"/>
          <w:bCs/>
          <w:sz w:val="32"/>
          <w:szCs w:val="32"/>
        </w:rPr>
      </w:pPr>
      <w:r>
        <w:rPr>
          <w:rFonts w:eastAsia="仿宋_GB2312"/>
          <w:b/>
          <w:bCs/>
          <w:sz w:val="32"/>
          <w:szCs w:val="32"/>
        </w:rPr>
        <w:t>服务期限：</w:t>
      </w:r>
      <w:r>
        <w:rPr>
          <w:rFonts w:eastAsia="仿宋_GB2312"/>
          <w:sz w:val="32"/>
          <w:szCs w:val="32"/>
        </w:rPr>
        <w:t>在双方约定时间内，提供符合本公司要求的塑碗前包装装篮自动化设备采购、设备调试以及适应的售后服务。</w:t>
      </w:r>
    </w:p>
    <w:p>
      <w:pPr>
        <w:snapToGrid w:val="0"/>
        <w:spacing w:line="560" w:lineRule="exact"/>
        <w:ind w:firstLine="640" w:firstLineChars="200"/>
        <w:contextualSpacing/>
        <w:rPr>
          <w:rFonts w:hint="eastAsia" w:ascii="黑体" w:hAnsi="黑体" w:eastAsia="黑体"/>
          <w:bCs/>
          <w:sz w:val="32"/>
          <w:szCs w:val="32"/>
        </w:rPr>
      </w:pPr>
      <w:r>
        <w:rPr>
          <w:rFonts w:hint="eastAsia" w:ascii="黑体" w:hAnsi="黑体" w:eastAsia="黑体"/>
          <w:bCs/>
          <w:sz w:val="32"/>
          <w:szCs w:val="32"/>
        </w:rPr>
        <w:t>三、合格报价人的资格要求</w:t>
      </w:r>
    </w:p>
    <w:p>
      <w:pPr>
        <w:snapToGrid w:val="0"/>
        <w:spacing w:line="560" w:lineRule="exact"/>
        <w:ind w:firstLine="640" w:firstLineChars="200"/>
        <w:contextualSpacing/>
        <w:rPr>
          <w:rFonts w:eastAsia="仿宋_GB2312"/>
          <w:sz w:val="32"/>
          <w:szCs w:val="32"/>
        </w:rPr>
      </w:pPr>
      <w:r>
        <w:rPr>
          <w:rFonts w:eastAsia="仿宋_GB2312"/>
          <w:sz w:val="32"/>
          <w:szCs w:val="32"/>
        </w:rPr>
        <w:t>1.国内注册（指按国家有关规定要求注册的），具备法人资格的企业</w:t>
      </w:r>
      <w:r>
        <w:rPr>
          <w:rFonts w:hint="eastAsia" w:eastAsia="仿宋_GB2312"/>
          <w:sz w:val="32"/>
          <w:szCs w:val="32"/>
        </w:rPr>
        <w:t>；</w:t>
      </w:r>
    </w:p>
    <w:p>
      <w:pPr>
        <w:snapToGrid w:val="0"/>
        <w:spacing w:line="560" w:lineRule="exact"/>
        <w:ind w:firstLine="640" w:firstLineChars="200"/>
        <w:contextualSpacing/>
        <w:rPr>
          <w:rFonts w:eastAsia="仿宋_GB2312"/>
          <w:sz w:val="32"/>
          <w:szCs w:val="32"/>
        </w:rPr>
      </w:pPr>
      <w:r>
        <w:rPr>
          <w:rFonts w:eastAsia="仿宋_GB2312"/>
          <w:sz w:val="32"/>
          <w:szCs w:val="32"/>
        </w:rPr>
        <w:t>2.本项目不接受联合体报价</w:t>
      </w:r>
      <w:r>
        <w:rPr>
          <w:rFonts w:hint="eastAsia" w:eastAsia="仿宋_GB2312"/>
          <w:sz w:val="32"/>
          <w:szCs w:val="32"/>
        </w:rPr>
        <w:t>；</w:t>
      </w:r>
    </w:p>
    <w:p>
      <w:pPr>
        <w:snapToGrid w:val="0"/>
        <w:spacing w:line="560" w:lineRule="exact"/>
        <w:ind w:firstLine="640" w:firstLineChars="200"/>
        <w:contextualSpacing/>
        <w:rPr>
          <w:rFonts w:eastAsia="仿宋_GB2312"/>
          <w:sz w:val="32"/>
          <w:szCs w:val="32"/>
        </w:rPr>
      </w:pPr>
      <w:r>
        <w:rPr>
          <w:rFonts w:eastAsia="仿宋_GB2312"/>
          <w:sz w:val="32"/>
          <w:szCs w:val="32"/>
        </w:rPr>
        <w:t>3.单位负责人为同一人或者存在直接控股、管理关系的不同供应商，不得参加同一合同项下的采购活动</w:t>
      </w:r>
      <w:r>
        <w:rPr>
          <w:rFonts w:hint="eastAsia" w:eastAsia="仿宋_GB2312"/>
          <w:sz w:val="32"/>
          <w:szCs w:val="32"/>
        </w:rPr>
        <w:t>；</w:t>
      </w:r>
    </w:p>
    <w:p>
      <w:pPr>
        <w:snapToGrid w:val="0"/>
        <w:spacing w:line="560" w:lineRule="exact"/>
        <w:ind w:firstLine="640" w:firstLineChars="200"/>
        <w:contextualSpacing/>
        <w:rPr>
          <w:rFonts w:eastAsia="仿宋_GB2312"/>
          <w:sz w:val="32"/>
          <w:szCs w:val="32"/>
        </w:rPr>
      </w:pPr>
      <w:r>
        <w:rPr>
          <w:rFonts w:eastAsia="仿宋_GB2312"/>
          <w:sz w:val="32"/>
          <w:szCs w:val="32"/>
        </w:rPr>
        <w:t>4.对在“信用中国”网站</w:t>
      </w:r>
      <w:r>
        <w:rPr>
          <w:rFonts w:hint="eastAsia" w:eastAsia="仿宋_GB2312"/>
          <w:sz w:val="32"/>
          <w:szCs w:val="32"/>
          <w:lang w:eastAsia="zh-CN"/>
        </w:rPr>
        <w:t>（</w:t>
      </w:r>
      <w:r>
        <w:rPr>
          <w:rFonts w:eastAsia="仿宋_GB2312"/>
          <w:sz w:val="32"/>
          <w:szCs w:val="32"/>
        </w:rPr>
        <w:t>www.creditchina.gov.cn</w:t>
      </w:r>
      <w:r>
        <w:rPr>
          <w:rFonts w:hint="eastAsia" w:eastAsia="仿宋_GB2312"/>
          <w:sz w:val="32"/>
          <w:szCs w:val="32"/>
          <w:lang w:eastAsia="zh-CN"/>
        </w:rPr>
        <w:t>）</w:t>
      </w:r>
      <w:r>
        <w:rPr>
          <w:rFonts w:eastAsia="仿宋_GB2312"/>
          <w:sz w:val="32"/>
          <w:szCs w:val="32"/>
        </w:rPr>
        <w:t>、中国政府采购网</w:t>
      </w:r>
      <w:r>
        <w:rPr>
          <w:rFonts w:hint="eastAsia" w:eastAsia="仿宋_GB2312"/>
          <w:sz w:val="32"/>
          <w:szCs w:val="32"/>
          <w:lang w:eastAsia="zh-CN"/>
        </w:rPr>
        <w:t>（</w:t>
      </w:r>
      <w:r>
        <w:rPr>
          <w:rFonts w:eastAsia="仿宋_GB2312"/>
          <w:sz w:val="32"/>
          <w:szCs w:val="32"/>
        </w:rPr>
        <w:t>www.ccgp.gov.cn</w:t>
      </w:r>
      <w:r>
        <w:rPr>
          <w:rFonts w:hint="eastAsia" w:eastAsia="仿宋_GB2312"/>
          <w:sz w:val="32"/>
          <w:szCs w:val="32"/>
          <w:lang w:eastAsia="zh-CN"/>
        </w:rPr>
        <w:t>）</w:t>
      </w:r>
      <w:r>
        <w:rPr>
          <w:rFonts w:eastAsia="仿宋_GB2312"/>
          <w:sz w:val="32"/>
          <w:szCs w:val="32"/>
        </w:rPr>
        <w:t>等渠道列入失信被执行人、重大税收违法案件当事人名单、政府采购严重违法失信行为记录名单的供应商，不得参与。</w:t>
      </w:r>
    </w:p>
    <w:p>
      <w:pPr>
        <w:snapToGrid w:val="0"/>
        <w:spacing w:line="560" w:lineRule="exact"/>
        <w:ind w:firstLine="640" w:firstLineChars="200"/>
        <w:contextualSpacing/>
        <w:rPr>
          <w:rFonts w:hint="eastAsia" w:ascii="黑体" w:hAnsi="黑体" w:eastAsia="黑体"/>
          <w:sz w:val="32"/>
          <w:szCs w:val="32"/>
        </w:rPr>
      </w:pPr>
      <w:r>
        <w:rPr>
          <w:rFonts w:hint="eastAsia" w:ascii="黑体" w:hAnsi="黑体" w:eastAsia="黑体"/>
          <w:sz w:val="32"/>
          <w:szCs w:val="32"/>
        </w:rPr>
        <w:t>四</w:t>
      </w:r>
      <w:r>
        <w:rPr>
          <w:rFonts w:ascii="黑体" w:hAnsi="黑体" w:eastAsia="黑体"/>
          <w:sz w:val="32"/>
          <w:szCs w:val="32"/>
        </w:rPr>
        <w:t>、比选响应文件递交截止时间及地点</w:t>
      </w:r>
    </w:p>
    <w:p>
      <w:pPr>
        <w:snapToGrid w:val="0"/>
        <w:spacing w:line="560" w:lineRule="exact"/>
        <w:ind w:firstLine="640" w:firstLineChars="200"/>
        <w:contextualSpacing/>
        <w:rPr>
          <w:rFonts w:eastAsia="仿宋_GB2312"/>
          <w:sz w:val="32"/>
          <w:szCs w:val="32"/>
        </w:rPr>
      </w:pPr>
      <w:r>
        <w:rPr>
          <w:rFonts w:eastAsia="仿宋_GB2312"/>
          <w:sz w:val="32"/>
          <w:szCs w:val="32"/>
        </w:rPr>
        <w:t>1.请报价方将书面报价文件以邮寄方式寄到广西双钱健康产业股份有限公司安环设备部</w:t>
      </w:r>
      <w:r>
        <w:rPr>
          <w:rFonts w:hint="eastAsia" w:eastAsia="仿宋_GB2312"/>
          <w:sz w:val="32"/>
          <w:szCs w:val="32"/>
        </w:rPr>
        <w:t>；</w:t>
      </w:r>
    </w:p>
    <w:p>
      <w:pPr>
        <w:snapToGrid w:val="0"/>
        <w:spacing w:line="560" w:lineRule="exact"/>
        <w:ind w:firstLine="640" w:firstLineChars="200"/>
        <w:contextualSpacing/>
        <w:rPr>
          <w:rFonts w:eastAsia="仿宋_GB2312"/>
          <w:sz w:val="32"/>
          <w:szCs w:val="32"/>
        </w:rPr>
      </w:pPr>
      <w:r>
        <w:rPr>
          <w:rFonts w:eastAsia="仿宋_GB2312"/>
          <w:sz w:val="32"/>
          <w:szCs w:val="32"/>
        </w:rPr>
        <w:t>2.邮寄件的封口必须完好，封口处加盖公章确保被启封后不可复原</w:t>
      </w:r>
      <w:r>
        <w:rPr>
          <w:rFonts w:hint="eastAsia" w:eastAsia="仿宋_GB2312"/>
          <w:sz w:val="32"/>
          <w:szCs w:val="32"/>
        </w:rPr>
        <w:t>；</w:t>
      </w:r>
    </w:p>
    <w:p>
      <w:pPr>
        <w:snapToGrid w:val="0"/>
        <w:spacing w:line="560" w:lineRule="exact"/>
        <w:ind w:firstLine="640" w:firstLineChars="200"/>
        <w:contextualSpacing/>
        <w:rPr>
          <w:rFonts w:eastAsia="仿宋_GB2312"/>
          <w:sz w:val="32"/>
          <w:szCs w:val="32"/>
        </w:rPr>
      </w:pPr>
      <w:r>
        <w:rPr>
          <w:rFonts w:eastAsia="仿宋_GB2312"/>
          <w:sz w:val="32"/>
          <w:szCs w:val="32"/>
        </w:rPr>
        <w:t>3.报价截止日期：自本公告发布之日起10天（含星期六日）内接受报价，挂网结束后5天停止接收报价文件。逾期则视为无效报价，请注意把握邮寄时间，以报价文件到达采购人时间为准</w:t>
      </w:r>
      <w:r>
        <w:rPr>
          <w:rFonts w:hint="eastAsia" w:eastAsia="仿宋_GB2312"/>
          <w:sz w:val="32"/>
          <w:szCs w:val="32"/>
        </w:rPr>
        <w:t>；</w:t>
      </w:r>
    </w:p>
    <w:p>
      <w:pPr>
        <w:snapToGrid w:val="0"/>
        <w:spacing w:line="560" w:lineRule="exact"/>
        <w:ind w:firstLine="640" w:firstLineChars="200"/>
        <w:contextualSpacing/>
        <w:rPr>
          <w:rFonts w:eastAsia="仿宋_GB2312"/>
          <w:sz w:val="32"/>
          <w:szCs w:val="32"/>
        </w:rPr>
      </w:pPr>
      <w:r>
        <w:rPr>
          <w:rFonts w:eastAsia="仿宋_GB2312"/>
          <w:sz w:val="32"/>
          <w:szCs w:val="32"/>
        </w:rPr>
        <w:t>4.收件地址：广西梧州市工业园区工业大道1号广西双钱健康产业股份有限公司安环设备部；收件人：李宇明，电话：13617740670，邮箱：</w:t>
      </w:r>
      <w:r>
        <w:fldChar w:fldCharType="begin"/>
      </w:r>
      <w:r>
        <w:instrText xml:space="preserve"> HYPERLINK "mailto:sqahsbb@wz-zh.com" </w:instrText>
      </w:r>
      <w:r>
        <w:fldChar w:fldCharType="separate"/>
      </w:r>
      <w:r>
        <w:rPr>
          <w:rFonts w:eastAsia="仿宋_GB2312"/>
          <w:sz w:val="32"/>
          <w:szCs w:val="32"/>
        </w:rPr>
        <w:t>sqahsbb@wz-zh.com</w:t>
      </w:r>
      <w:r>
        <w:rPr>
          <w:rFonts w:eastAsia="仿宋_GB2312"/>
          <w:sz w:val="32"/>
          <w:szCs w:val="32"/>
        </w:rPr>
        <w:fldChar w:fldCharType="end"/>
      </w:r>
      <w:r>
        <w:rPr>
          <w:rFonts w:eastAsia="仿宋_GB2312"/>
          <w:sz w:val="32"/>
          <w:szCs w:val="32"/>
        </w:rPr>
        <w:t>。</w:t>
      </w:r>
    </w:p>
    <w:p>
      <w:pPr>
        <w:snapToGrid w:val="0"/>
        <w:spacing w:line="560" w:lineRule="exact"/>
        <w:ind w:firstLine="640" w:firstLineChars="200"/>
        <w:contextualSpacing/>
        <w:rPr>
          <w:rFonts w:hint="eastAsia" w:ascii="黑体" w:hAnsi="黑体" w:eastAsia="黑体"/>
          <w:sz w:val="32"/>
          <w:szCs w:val="32"/>
        </w:rPr>
      </w:pPr>
      <w:r>
        <w:rPr>
          <w:rFonts w:hint="eastAsia" w:ascii="黑体" w:hAnsi="黑体" w:eastAsia="黑体"/>
          <w:sz w:val="32"/>
          <w:szCs w:val="32"/>
        </w:rPr>
        <w:t>五、应答文件要求</w:t>
      </w:r>
    </w:p>
    <w:p>
      <w:pPr>
        <w:spacing w:line="560" w:lineRule="exact"/>
        <w:ind w:firstLine="640" w:firstLineChars="200"/>
        <w:contextualSpacing/>
        <w:rPr>
          <w:rFonts w:eastAsia="仿宋_GB2312"/>
          <w:sz w:val="32"/>
          <w:szCs w:val="32"/>
        </w:rPr>
      </w:pPr>
      <w:r>
        <w:rPr>
          <w:rFonts w:hint="eastAsia" w:eastAsia="仿宋_GB2312"/>
          <w:sz w:val="32"/>
          <w:szCs w:val="32"/>
        </w:rPr>
        <w:t>详见附件：</w:t>
      </w:r>
      <w:r>
        <w:rPr>
          <w:rFonts w:eastAsia="仿宋_GB2312"/>
          <w:sz w:val="32"/>
          <w:szCs w:val="32"/>
        </w:rPr>
        <w:t>塑碗前包装装篮自动化设备采购（编号：SQ-202502）项目比选方案补充说明。</w:t>
      </w:r>
    </w:p>
    <w:p>
      <w:pPr>
        <w:snapToGrid w:val="0"/>
        <w:spacing w:line="560" w:lineRule="exact"/>
        <w:ind w:firstLine="640" w:firstLineChars="200"/>
        <w:contextualSpacing/>
        <w:rPr>
          <w:sz w:val="32"/>
          <w:szCs w:val="32"/>
        </w:rPr>
      </w:pPr>
    </w:p>
    <w:p>
      <w:pPr>
        <w:snapToGrid w:val="0"/>
        <w:spacing w:line="560" w:lineRule="exact"/>
        <w:ind w:firstLine="640" w:firstLineChars="200"/>
        <w:contextualSpacing/>
        <w:rPr>
          <w:sz w:val="32"/>
          <w:szCs w:val="32"/>
        </w:rPr>
      </w:pPr>
    </w:p>
    <w:p>
      <w:pPr>
        <w:snapToGrid w:val="0"/>
        <w:spacing w:line="560" w:lineRule="exact"/>
        <w:ind w:firstLine="640" w:firstLineChars="200"/>
        <w:contextualSpacing/>
        <w:rPr>
          <w:rFonts w:eastAsia="仿宋_GB2312"/>
          <w:sz w:val="32"/>
          <w:szCs w:val="32"/>
        </w:rPr>
      </w:pPr>
      <w:r>
        <w:rPr>
          <w:sz w:val="32"/>
          <w:szCs w:val="32"/>
        </w:rPr>
        <w:t xml:space="preserve">                   </w:t>
      </w:r>
      <w:r>
        <w:rPr>
          <w:rFonts w:hint="eastAsia"/>
          <w:sz w:val="32"/>
          <w:szCs w:val="32"/>
        </w:rPr>
        <w:t xml:space="preserve">  </w:t>
      </w:r>
      <w:r>
        <w:rPr>
          <w:rFonts w:eastAsia="仿宋_GB2312"/>
          <w:sz w:val="32"/>
          <w:szCs w:val="32"/>
        </w:rPr>
        <w:t>广西双钱健康产业股份有限公司</w:t>
      </w:r>
    </w:p>
    <w:p>
      <w:pPr>
        <w:snapToGrid w:val="0"/>
        <w:spacing w:line="560" w:lineRule="exact"/>
        <w:ind w:firstLine="640" w:firstLineChars="200"/>
        <w:contextualSpacing/>
        <w:rPr>
          <w:rFonts w:eastAsia="仿宋_GB2312"/>
          <w:sz w:val="32"/>
          <w:szCs w:val="32"/>
        </w:rPr>
      </w:pPr>
      <w:r>
        <w:rPr>
          <w:rFonts w:eastAsia="仿宋_GB2312"/>
          <w:sz w:val="32"/>
          <w:szCs w:val="32"/>
        </w:rPr>
        <w:t xml:space="preserve">                            2025年  月  日</w:t>
      </w:r>
    </w:p>
    <w:p>
      <w:pPr>
        <w:spacing w:line="560" w:lineRule="exact"/>
        <w:jc w:val="center"/>
        <w:rPr>
          <w:rFonts w:ascii="方正小标宋简体" w:eastAsia="方正小标宋简体"/>
          <w:bCs/>
          <w:sz w:val="36"/>
        </w:rPr>
      </w:pPr>
      <w:r>
        <w:rPr>
          <w:rFonts w:hint="eastAsia"/>
          <w:b/>
          <w:sz w:val="36"/>
        </w:rPr>
        <w:br w:type="page"/>
      </w:r>
      <w:bookmarkStart w:id="11" w:name="_Toc519678418"/>
      <w:r>
        <w:rPr>
          <w:rFonts w:hint="eastAsia" w:ascii="方正小标宋简体" w:eastAsia="方正小标宋简体"/>
          <w:bCs/>
          <w:sz w:val="44"/>
          <w:szCs w:val="32"/>
        </w:rPr>
        <w:t xml:space="preserve">第二章  </w:t>
      </w:r>
      <w:bookmarkEnd w:id="7"/>
      <w:bookmarkEnd w:id="8"/>
      <w:bookmarkEnd w:id="9"/>
      <w:bookmarkEnd w:id="10"/>
      <w:r>
        <w:rPr>
          <w:rFonts w:hint="eastAsia" w:ascii="方正小标宋简体" w:eastAsia="方正小标宋简体"/>
          <w:bCs/>
          <w:sz w:val="44"/>
          <w:szCs w:val="32"/>
        </w:rPr>
        <w:t>项目采购需求</w:t>
      </w:r>
      <w:bookmarkEnd w:id="11"/>
    </w:p>
    <w:p>
      <w:pPr>
        <w:spacing w:line="560" w:lineRule="exact"/>
        <w:ind w:firstLine="640" w:firstLineChars="200"/>
        <w:rPr>
          <w:rFonts w:eastAsia="仿宋_GB2312"/>
          <w:sz w:val="32"/>
          <w:szCs w:val="32"/>
        </w:rPr>
      </w:pPr>
      <w:bookmarkStart w:id="12" w:name="_Hlk183179139"/>
    </w:p>
    <w:p>
      <w:pPr>
        <w:spacing w:line="560" w:lineRule="exact"/>
        <w:ind w:firstLine="640" w:firstLineChars="200"/>
        <w:rPr>
          <w:rFonts w:eastAsia="仿宋_GB2312"/>
          <w:sz w:val="32"/>
          <w:szCs w:val="32"/>
        </w:rPr>
      </w:pPr>
      <w:r>
        <w:rPr>
          <w:rFonts w:eastAsia="仿宋_GB2312"/>
          <w:sz w:val="32"/>
          <w:szCs w:val="32"/>
        </w:rPr>
        <w:t>此采购需求文件的目的是对广西双钱健康产业股份有限公司需求的全新的塑碗前包装装篮自动化设备采购而制定，为该项目招标的技术标准依据，并必须作为设备采购合同附件，以及设备验收标准之一。</w:t>
      </w:r>
    </w:p>
    <w:p>
      <w:pPr>
        <w:spacing w:line="560" w:lineRule="exact"/>
        <w:ind w:firstLine="681" w:firstLineChars="213"/>
        <w:rPr>
          <w:rFonts w:eastAsia="仿宋_GB2312"/>
          <w:sz w:val="32"/>
          <w:szCs w:val="32"/>
        </w:rPr>
      </w:pPr>
      <w:r>
        <w:rPr>
          <w:rFonts w:eastAsia="仿宋_GB2312"/>
          <w:sz w:val="32"/>
          <w:szCs w:val="32"/>
        </w:rPr>
        <w:t>这份需求文件描述了塑碗前包装装篮自动化设备采购的基本需求，包括</w:t>
      </w:r>
      <w:r>
        <w:rPr>
          <w:rFonts w:hint="eastAsia" w:eastAsia="仿宋_GB2312"/>
          <w:sz w:val="32"/>
          <w:szCs w:val="32"/>
          <w:lang w:eastAsia="zh-CN"/>
        </w:rPr>
        <w:t>（</w:t>
      </w:r>
      <w:r>
        <w:rPr>
          <w:rFonts w:eastAsia="仿宋_GB2312"/>
          <w:sz w:val="32"/>
          <w:szCs w:val="32"/>
        </w:rPr>
        <w:t>但不限于</w:t>
      </w:r>
      <w:r>
        <w:rPr>
          <w:rFonts w:hint="eastAsia" w:eastAsia="仿宋_GB2312"/>
          <w:sz w:val="32"/>
          <w:szCs w:val="32"/>
          <w:lang w:eastAsia="zh-CN"/>
        </w:rPr>
        <w:t>）</w:t>
      </w:r>
      <w:r>
        <w:rPr>
          <w:rFonts w:eastAsia="仿宋_GB2312"/>
          <w:sz w:val="32"/>
          <w:szCs w:val="32"/>
        </w:rPr>
        <w:t>以下章节：</w:t>
      </w:r>
    </w:p>
    <w:p>
      <w:pPr>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工艺用途概述</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法规要求</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工艺要求</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w:t>
      </w:r>
      <w:r>
        <w:rPr>
          <w:rFonts w:eastAsia="仿宋_GB2312"/>
          <w:sz w:val="32"/>
          <w:szCs w:val="32"/>
        </w:rPr>
        <w:t>电气控制要求</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w:t>
      </w:r>
      <w:r>
        <w:rPr>
          <w:rFonts w:eastAsia="仿宋_GB2312"/>
          <w:sz w:val="32"/>
          <w:szCs w:val="32"/>
        </w:rPr>
        <w:t>安装要求</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6</w:t>
      </w:r>
      <w:r>
        <w:rPr>
          <w:rFonts w:hint="eastAsia" w:eastAsia="仿宋_GB2312"/>
          <w:sz w:val="32"/>
          <w:szCs w:val="32"/>
        </w:rPr>
        <w:t>.</w:t>
      </w:r>
      <w:r>
        <w:rPr>
          <w:rFonts w:eastAsia="仿宋_GB2312"/>
          <w:sz w:val="32"/>
          <w:szCs w:val="32"/>
        </w:rPr>
        <w:t>安全要求</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7</w:t>
      </w:r>
      <w:r>
        <w:rPr>
          <w:rFonts w:hint="eastAsia" w:eastAsia="仿宋_GB2312"/>
          <w:sz w:val="32"/>
          <w:szCs w:val="32"/>
        </w:rPr>
        <w:t>.</w:t>
      </w:r>
      <w:r>
        <w:rPr>
          <w:rFonts w:eastAsia="仿宋_GB2312"/>
          <w:sz w:val="32"/>
          <w:szCs w:val="32"/>
        </w:rPr>
        <w:t>文件要求</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8</w:t>
      </w:r>
      <w:r>
        <w:rPr>
          <w:rFonts w:hint="eastAsia" w:eastAsia="仿宋_GB2312"/>
          <w:sz w:val="32"/>
          <w:szCs w:val="32"/>
        </w:rPr>
        <w:t>.</w:t>
      </w:r>
      <w:r>
        <w:rPr>
          <w:rFonts w:eastAsia="仿宋_GB2312"/>
          <w:sz w:val="32"/>
          <w:szCs w:val="32"/>
        </w:rPr>
        <w:t>培训要求</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9</w:t>
      </w:r>
      <w:r>
        <w:rPr>
          <w:rFonts w:hint="eastAsia" w:eastAsia="仿宋_GB2312"/>
          <w:sz w:val="32"/>
          <w:szCs w:val="32"/>
        </w:rPr>
        <w:t>.</w:t>
      </w:r>
      <w:r>
        <w:rPr>
          <w:rFonts w:eastAsia="仿宋_GB2312"/>
          <w:sz w:val="32"/>
          <w:szCs w:val="32"/>
        </w:rPr>
        <w:t>售后服务要求</w:t>
      </w:r>
      <w:r>
        <w:rPr>
          <w:rFonts w:hint="eastAsia" w:eastAsia="仿宋_GB2312"/>
          <w:sz w:val="32"/>
          <w:szCs w:val="32"/>
        </w:rPr>
        <w:t>；</w:t>
      </w:r>
    </w:p>
    <w:p>
      <w:pPr>
        <w:spacing w:line="560" w:lineRule="exact"/>
        <w:ind w:firstLine="640" w:firstLineChars="200"/>
        <w:outlineLvl w:val="1"/>
        <w:rPr>
          <w:rFonts w:hint="eastAsia" w:ascii="黑体" w:hAnsi="黑体" w:eastAsia="黑体"/>
          <w:sz w:val="32"/>
          <w:szCs w:val="32"/>
        </w:rPr>
      </w:pPr>
      <w:bookmarkStart w:id="13" w:name="_Toc213325922"/>
      <w:bookmarkStart w:id="14" w:name="_Toc139966432"/>
      <w:bookmarkStart w:id="15" w:name="_Toc213206173"/>
      <w:bookmarkStart w:id="16" w:name="_Toc139967216"/>
      <w:r>
        <w:rPr>
          <w:rFonts w:hint="eastAsia" w:ascii="黑体" w:hAnsi="黑体" w:eastAsia="黑体"/>
          <w:sz w:val="32"/>
          <w:szCs w:val="32"/>
        </w:rPr>
        <w:t>一、</w:t>
      </w:r>
      <w:r>
        <w:rPr>
          <w:rFonts w:ascii="黑体" w:hAnsi="黑体" w:eastAsia="黑体"/>
          <w:sz w:val="32"/>
          <w:szCs w:val="32"/>
        </w:rPr>
        <w:t>项目概况</w:t>
      </w:r>
    </w:p>
    <w:p>
      <w:pPr>
        <w:spacing w:line="560" w:lineRule="exact"/>
        <w:ind w:firstLine="640" w:firstLineChars="200"/>
        <w:rPr>
          <w:rFonts w:eastAsia="仿宋_GB2312"/>
          <w:sz w:val="32"/>
          <w:szCs w:val="32"/>
        </w:rPr>
      </w:pPr>
      <w:r>
        <w:rPr>
          <w:rFonts w:eastAsia="仿宋_GB2312"/>
          <w:sz w:val="32"/>
          <w:szCs w:val="32"/>
        </w:rPr>
        <w:t>项目名称：塑碗前包装装篮自动化设备采购（编号：SQ-202502）项目</w:t>
      </w:r>
    </w:p>
    <w:p>
      <w:pPr>
        <w:spacing w:line="560" w:lineRule="exact"/>
        <w:ind w:firstLine="640" w:firstLineChars="200"/>
        <w:rPr>
          <w:rFonts w:hint="eastAsia" w:ascii="黑体" w:hAnsi="黑体" w:eastAsia="黑体"/>
          <w:bCs/>
          <w:sz w:val="32"/>
          <w:szCs w:val="32"/>
        </w:rPr>
      </w:pPr>
      <w:r>
        <w:rPr>
          <w:rFonts w:hint="eastAsia" w:ascii="黑体" w:hAnsi="黑体" w:eastAsia="黑体"/>
          <w:bCs/>
          <w:sz w:val="32"/>
          <w:szCs w:val="32"/>
        </w:rPr>
        <w:t>二、</w:t>
      </w:r>
      <w:r>
        <w:rPr>
          <w:rFonts w:ascii="黑体" w:hAnsi="黑体" w:eastAsia="黑体"/>
          <w:bCs/>
          <w:sz w:val="32"/>
          <w:szCs w:val="32"/>
        </w:rPr>
        <w:t>情况说明</w:t>
      </w:r>
    </w:p>
    <w:p>
      <w:pPr>
        <w:spacing w:line="560" w:lineRule="exact"/>
        <w:ind w:firstLine="640" w:firstLineChars="200"/>
        <w:rPr>
          <w:rFonts w:hint="eastAsia" w:ascii="黑体" w:hAnsi="黑体" w:eastAsia="黑体"/>
          <w:bCs/>
          <w:sz w:val="32"/>
          <w:szCs w:val="32"/>
        </w:rPr>
      </w:pPr>
      <w:r>
        <w:rPr>
          <w:rFonts w:eastAsia="仿宋_GB2312"/>
          <w:bCs/>
          <w:sz w:val="32"/>
          <w:szCs w:val="32"/>
        </w:rPr>
        <w:t>1.报价人必须自行为其报价产品侵犯其他报价人或专利人的专利成果承担全部的法律责任；同时，具有产品专利的报价人应在其投标文件中提供与其自有产品专利相关的有效证明材料，否则，不能就其产品的专利在本项目采购过程中被侵权问题提出异议。</w:t>
      </w:r>
    </w:p>
    <w:p>
      <w:pPr>
        <w:spacing w:line="560" w:lineRule="exact"/>
        <w:ind w:firstLine="640" w:firstLineChars="200"/>
        <w:rPr>
          <w:rFonts w:hint="eastAsia" w:ascii="黑体" w:hAnsi="黑体" w:eastAsia="黑体"/>
          <w:bCs/>
          <w:sz w:val="32"/>
          <w:szCs w:val="32"/>
        </w:rPr>
      </w:pPr>
      <w:r>
        <w:rPr>
          <w:rFonts w:eastAsia="仿宋_GB2312"/>
          <w:bCs/>
          <w:sz w:val="32"/>
          <w:szCs w:val="32"/>
        </w:rPr>
        <w:t>2.凡在“技术参数要求”中表述为“</w:t>
      </w:r>
      <w:r>
        <w:rPr>
          <w:rFonts w:ascii="Segoe UI Symbol" w:hAnsi="Segoe UI Symbol" w:eastAsia="仿宋_GB2312" w:cs="Segoe UI Symbol"/>
          <w:b/>
          <w:bCs/>
          <w:sz w:val="32"/>
          <w:szCs w:val="32"/>
        </w:rPr>
        <w:t>★</w:t>
      </w:r>
      <w:r>
        <w:rPr>
          <w:rFonts w:eastAsia="仿宋_GB2312"/>
          <w:bCs/>
          <w:sz w:val="32"/>
          <w:szCs w:val="32"/>
        </w:rPr>
        <w:t>必需”的货物，报价人应在报价表中将其标配参数详细列明，否则该报价无效。</w:t>
      </w:r>
    </w:p>
    <w:p>
      <w:pPr>
        <w:spacing w:line="560" w:lineRule="exact"/>
        <w:ind w:firstLine="640" w:firstLineChars="200"/>
        <w:rPr>
          <w:rFonts w:hint="eastAsia" w:ascii="黑体" w:hAnsi="黑体" w:eastAsia="黑体"/>
          <w:bCs/>
          <w:sz w:val="32"/>
          <w:szCs w:val="32"/>
        </w:rPr>
      </w:pPr>
      <w:r>
        <w:rPr>
          <w:rFonts w:eastAsia="仿宋_GB2312"/>
          <w:bCs/>
          <w:sz w:val="32"/>
          <w:szCs w:val="32"/>
        </w:rPr>
        <w:t>3.“技术参数要求”中表述为“</w:t>
      </w:r>
      <w:r>
        <w:rPr>
          <w:rFonts w:ascii="Segoe UI Symbol" w:hAnsi="Segoe UI Symbol" w:eastAsia="仿宋_GB2312" w:cs="Segoe UI Symbol"/>
          <w:b/>
          <w:bCs/>
          <w:sz w:val="32"/>
          <w:szCs w:val="32"/>
        </w:rPr>
        <w:t>★</w:t>
      </w:r>
      <w:r>
        <w:rPr>
          <w:rFonts w:eastAsia="仿宋_GB2312"/>
          <w:bCs/>
          <w:sz w:val="32"/>
          <w:szCs w:val="32"/>
        </w:rPr>
        <w:t>必需”的项目，报价人在具体项目具有行业内优势时应展开阐述，将作为评标评分项。</w:t>
      </w:r>
    </w:p>
    <w:p>
      <w:pPr>
        <w:spacing w:line="560" w:lineRule="exact"/>
        <w:ind w:firstLine="640" w:firstLineChars="200"/>
        <w:rPr>
          <w:rFonts w:hint="eastAsia" w:ascii="黑体" w:hAnsi="黑体" w:eastAsia="黑体"/>
          <w:bCs/>
          <w:sz w:val="32"/>
          <w:szCs w:val="32"/>
        </w:rPr>
      </w:pPr>
      <w:r>
        <w:rPr>
          <w:rFonts w:eastAsia="仿宋_GB2312"/>
          <w:bCs/>
          <w:sz w:val="32"/>
          <w:szCs w:val="32"/>
        </w:rPr>
        <w:t>4.评审时，如评审小组发现本一览表参数及性能（配置）要求中含有某一品牌特有的参数或限制性要求的，有权认定不作为主要参数及性能（配置）要求处理。</w:t>
      </w:r>
    </w:p>
    <w:p>
      <w:pPr>
        <w:spacing w:line="560" w:lineRule="exact"/>
        <w:ind w:firstLine="640" w:firstLineChars="200"/>
        <w:rPr>
          <w:rFonts w:hint="eastAsia" w:ascii="黑体" w:hAnsi="黑体" w:eastAsia="黑体"/>
          <w:bCs/>
          <w:sz w:val="32"/>
          <w:szCs w:val="32"/>
        </w:rPr>
      </w:pPr>
      <w:r>
        <w:rPr>
          <w:rFonts w:eastAsia="仿宋_GB2312"/>
          <w:bCs/>
          <w:sz w:val="32"/>
          <w:szCs w:val="32"/>
        </w:rPr>
        <w:t>5.如采购需求与现行国家标准不一致，以现行国家标准为准。</w:t>
      </w:r>
    </w:p>
    <w:p>
      <w:pPr>
        <w:spacing w:line="560" w:lineRule="exact"/>
        <w:ind w:firstLine="640" w:firstLineChars="200"/>
        <w:rPr>
          <w:rFonts w:hint="eastAsia" w:ascii="黑体" w:hAnsi="黑体" w:eastAsia="黑体"/>
          <w:bCs/>
          <w:sz w:val="32"/>
          <w:szCs w:val="32"/>
        </w:rPr>
      </w:pPr>
      <w:r>
        <w:rPr>
          <w:rFonts w:hint="eastAsia" w:ascii="黑体" w:hAnsi="黑体" w:eastAsia="黑体"/>
          <w:bCs/>
          <w:sz w:val="32"/>
          <w:szCs w:val="32"/>
        </w:rPr>
        <w:t>三、技术参数要求</w:t>
      </w:r>
    </w:p>
    <w:p>
      <w:pPr>
        <w:numPr>
          <w:ilvl w:val="0"/>
          <w:numId w:val="2"/>
        </w:numPr>
        <w:snapToGrid w:val="0"/>
        <w:spacing w:line="560" w:lineRule="exact"/>
        <w:outlineLvl w:val="0"/>
        <w:rPr>
          <w:rFonts w:eastAsia="仿宋_GB2312"/>
          <w:sz w:val="32"/>
          <w:szCs w:val="32"/>
        </w:rPr>
      </w:pPr>
      <w:bookmarkStart w:id="17" w:name="_Toc522719323"/>
      <w:r>
        <w:rPr>
          <w:rFonts w:eastAsia="仿宋_GB2312"/>
          <w:b/>
          <w:sz w:val="32"/>
          <w:szCs w:val="32"/>
        </w:rPr>
        <w:t>工艺用途概述</w:t>
      </w:r>
      <w:bookmarkEnd w:id="17"/>
    </w:p>
    <w:p>
      <w:pPr>
        <w:snapToGrid w:val="0"/>
        <w:spacing w:line="560" w:lineRule="exact"/>
        <w:ind w:firstLine="640" w:firstLineChars="200"/>
        <w:rPr>
          <w:rFonts w:eastAsia="仿宋_GB2312"/>
          <w:sz w:val="32"/>
          <w:szCs w:val="32"/>
        </w:rPr>
      </w:pPr>
      <w:r>
        <w:rPr>
          <w:rFonts w:eastAsia="仿宋_GB2312"/>
          <w:sz w:val="32"/>
          <w:szCs w:val="32"/>
        </w:rPr>
        <w:t>1.1 根据广西双钱健康产业股份有限公司规划发展需要，提高塑碗龟苓膏装篮效率，为减少人工工作量实现自动化生产，拟采购塑碗前包装装篮自动化设备满足生产需求。</w:t>
      </w:r>
    </w:p>
    <w:p>
      <w:pPr>
        <w:snapToGrid w:val="0"/>
        <w:spacing w:line="560" w:lineRule="exact"/>
        <w:ind w:firstLine="640" w:firstLineChars="200"/>
        <w:rPr>
          <w:rFonts w:eastAsia="仿宋_GB2312"/>
          <w:sz w:val="32"/>
          <w:szCs w:val="32"/>
        </w:rPr>
      </w:pPr>
      <w:r>
        <w:rPr>
          <w:rFonts w:eastAsia="仿宋_GB2312"/>
          <w:sz w:val="32"/>
          <w:szCs w:val="32"/>
        </w:rPr>
        <w:t>1.2 工艺概述</w:t>
      </w:r>
    </w:p>
    <w:p>
      <w:pPr>
        <w:snapToGrid w:val="0"/>
        <w:spacing w:line="560" w:lineRule="exact"/>
        <w:ind w:firstLine="420" w:firstLineChars="200"/>
        <w:rPr>
          <w:rFonts w:eastAsia="仿宋_GB2312"/>
          <w:b/>
          <w:bCs/>
          <w:sz w:val="32"/>
          <w:szCs w:val="32"/>
        </w:rPr>
      </w:pPr>
      <w:r>
        <w:drawing>
          <wp:anchor distT="0" distB="0" distL="114300" distR="114300" simplePos="0" relativeHeight="251659264" behindDoc="0" locked="0" layoutInCell="1" allowOverlap="1">
            <wp:simplePos x="0" y="0"/>
            <wp:positionH relativeFrom="column">
              <wp:posOffset>-8255</wp:posOffset>
            </wp:positionH>
            <wp:positionV relativeFrom="paragraph">
              <wp:posOffset>58420</wp:posOffset>
            </wp:positionV>
            <wp:extent cx="5591175" cy="2152650"/>
            <wp:effectExtent l="19050" t="19050" r="9525" b="0"/>
            <wp:wrapNone/>
            <wp:docPr id="8032268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226839" name="图片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591175" cy="2152650"/>
                    </a:xfrm>
                    <a:prstGeom prst="rect">
                      <a:avLst/>
                    </a:prstGeom>
                    <a:ln>
                      <a:solidFill>
                        <a:schemeClr val="tx1"/>
                      </a:solidFill>
                    </a:ln>
                  </pic:spPr>
                </pic:pic>
              </a:graphicData>
            </a:graphic>
          </wp:anchor>
        </w:drawing>
      </w:r>
    </w:p>
    <w:p>
      <w:pPr>
        <w:snapToGrid w:val="0"/>
        <w:spacing w:line="560" w:lineRule="exact"/>
        <w:ind w:firstLine="643" w:firstLineChars="200"/>
        <w:rPr>
          <w:rFonts w:eastAsia="仿宋_GB2312"/>
          <w:b/>
          <w:bCs/>
          <w:sz w:val="32"/>
          <w:szCs w:val="32"/>
        </w:rPr>
      </w:pPr>
    </w:p>
    <w:p>
      <w:pPr>
        <w:snapToGrid w:val="0"/>
        <w:spacing w:line="560" w:lineRule="exact"/>
        <w:ind w:firstLine="643" w:firstLineChars="200"/>
        <w:rPr>
          <w:rFonts w:eastAsia="仿宋_GB2312"/>
          <w:b/>
          <w:bCs/>
          <w:sz w:val="32"/>
          <w:szCs w:val="32"/>
        </w:rPr>
      </w:pPr>
    </w:p>
    <w:p>
      <w:pPr>
        <w:snapToGrid w:val="0"/>
        <w:spacing w:line="560" w:lineRule="exact"/>
        <w:ind w:firstLine="643" w:firstLineChars="200"/>
        <w:rPr>
          <w:rFonts w:eastAsia="仿宋_GB2312"/>
          <w:b/>
          <w:bCs/>
          <w:sz w:val="32"/>
          <w:szCs w:val="32"/>
        </w:rPr>
      </w:pPr>
    </w:p>
    <w:p>
      <w:pPr>
        <w:snapToGrid w:val="0"/>
        <w:spacing w:line="560" w:lineRule="exact"/>
        <w:ind w:firstLine="640" w:firstLineChars="200"/>
        <w:rPr>
          <w:rFonts w:ascii="仿宋_GB2312" w:eastAsia="仿宋_GB2312" w:cs="Arial"/>
          <w:sz w:val="32"/>
          <w:szCs w:val="32"/>
        </w:rPr>
      </w:pPr>
      <w:r>
        <w:rPr>
          <w:rFonts w:hint="eastAsia" w:ascii="仿宋_GB2312" w:eastAsia="仿宋_GB2312" w:cs="Arial"/>
          <w:sz w:val="32"/>
          <w:szCs w:val="32"/>
        </w:rPr>
        <w:t>设备具备简洁易操作的人机界面，塑碗提升至自动理料机构，理料机构将塑碗进行理料/计数并装入空篮内，然后进行人工码垛并将成品拉走，该机构需配备人工装篮功能，在自动理料设备故障时可通过人工装篮保证生产。</w:t>
      </w:r>
    </w:p>
    <w:p>
      <w:pPr>
        <w:snapToGrid w:val="0"/>
        <w:spacing w:line="560" w:lineRule="exact"/>
        <w:ind w:left="643"/>
        <w:outlineLvl w:val="0"/>
        <w:rPr>
          <w:rFonts w:eastAsia="仿宋_GB2312"/>
          <w:b/>
          <w:sz w:val="32"/>
          <w:szCs w:val="32"/>
        </w:rPr>
      </w:pPr>
      <w:bookmarkStart w:id="18" w:name="_Toc513628069"/>
      <w:bookmarkStart w:id="19" w:name="_Toc522719324"/>
      <w:r>
        <w:rPr>
          <w:rFonts w:eastAsia="仿宋_GB2312"/>
          <w:b/>
          <w:sz w:val="32"/>
          <w:szCs w:val="32"/>
        </w:rPr>
        <w:t>2.法规要求</w:t>
      </w:r>
      <w:bookmarkEnd w:id="18"/>
      <w:bookmarkEnd w:id="19"/>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5443"/>
        <w:gridCol w:w="1435"/>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1" w:hRule="exact"/>
        </w:trPr>
        <w:tc>
          <w:tcPr>
            <w:tcW w:w="432" w:type="pct"/>
            <w:vAlign w:val="center"/>
          </w:tcPr>
          <w:p>
            <w:pPr>
              <w:snapToGrid w:val="0"/>
              <w:jc w:val="center"/>
              <w:rPr>
                <w:rFonts w:eastAsia="楷体_GB2312"/>
                <w:sz w:val="24"/>
              </w:rPr>
            </w:pPr>
            <w:r>
              <w:rPr>
                <w:rFonts w:eastAsia="楷体_GB2312"/>
                <w:sz w:val="24"/>
              </w:rPr>
              <w:t>序号</w:t>
            </w:r>
          </w:p>
        </w:tc>
        <w:tc>
          <w:tcPr>
            <w:tcW w:w="3004" w:type="pct"/>
            <w:vAlign w:val="center"/>
          </w:tcPr>
          <w:p>
            <w:pPr>
              <w:snapToGrid w:val="0"/>
              <w:jc w:val="center"/>
              <w:rPr>
                <w:rFonts w:eastAsia="楷体_GB2312"/>
                <w:sz w:val="24"/>
              </w:rPr>
            </w:pPr>
            <w:r>
              <w:rPr>
                <w:rFonts w:eastAsia="楷体_GB2312"/>
                <w:sz w:val="24"/>
              </w:rPr>
              <w:t>需求内容</w:t>
            </w:r>
          </w:p>
        </w:tc>
        <w:tc>
          <w:tcPr>
            <w:tcW w:w="792" w:type="pct"/>
            <w:vAlign w:val="center"/>
          </w:tcPr>
          <w:p>
            <w:pPr>
              <w:snapToGrid w:val="0"/>
              <w:jc w:val="center"/>
              <w:rPr>
                <w:rFonts w:eastAsia="楷体_GB2312"/>
                <w:sz w:val="24"/>
              </w:rPr>
            </w:pPr>
            <w:r>
              <w:rPr>
                <w:rFonts w:eastAsia="楷体_GB2312"/>
                <w:sz w:val="24"/>
              </w:rPr>
              <w:t>必需或期望</w:t>
            </w:r>
          </w:p>
        </w:tc>
        <w:tc>
          <w:tcPr>
            <w:tcW w:w="773" w:type="pct"/>
            <w:vAlign w:val="center"/>
          </w:tcPr>
          <w:p>
            <w:pPr>
              <w:snapToGrid w:val="0"/>
              <w:jc w:val="center"/>
              <w:rPr>
                <w:rFonts w:eastAsia="楷体_GB2312"/>
                <w:sz w:val="24"/>
              </w:rPr>
            </w:pPr>
            <w:r>
              <w:rPr>
                <w:rFonts w:eastAsia="楷体_GB2312"/>
                <w:sz w:val="24"/>
              </w:rPr>
              <w:t>供方响应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4" w:hRule="exact"/>
        </w:trPr>
        <w:tc>
          <w:tcPr>
            <w:tcW w:w="432" w:type="pct"/>
            <w:vAlign w:val="center"/>
          </w:tcPr>
          <w:p>
            <w:pPr>
              <w:snapToGrid w:val="0"/>
              <w:jc w:val="center"/>
              <w:rPr>
                <w:rFonts w:eastAsia="楷体_GB2312"/>
                <w:sz w:val="24"/>
              </w:rPr>
            </w:pPr>
            <w:r>
              <w:rPr>
                <w:rFonts w:eastAsia="楷体_GB2312"/>
                <w:sz w:val="24"/>
              </w:rPr>
              <w:t>2.1</w:t>
            </w:r>
          </w:p>
        </w:tc>
        <w:tc>
          <w:tcPr>
            <w:tcW w:w="3004" w:type="pct"/>
            <w:vAlign w:val="center"/>
          </w:tcPr>
          <w:p>
            <w:pPr>
              <w:snapToGrid w:val="0"/>
              <w:rPr>
                <w:rFonts w:eastAsia="楷体_GB2312"/>
                <w:sz w:val="24"/>
              </w:rPr>
            </w:pPr>
            <w:r>
              <w:rPr>
                <w:rFonts w:eastAsia="楷体_GB2312"/>
                <w:sz w:val="24"/>
              </w:rPr>
              <w:t>行业标准（执行最新版）</w:t>
            </w:r>
            <w:r>
              <w:rPr>
                <w:rFonts w:hint="eastAsia" w:eastAsia="楷体_GB2312"/>
                <w:sz w:val="24"/>
                <w:lang w:eastAsia="zh-CN"/>
              </w:rPr>
              <w:t>：</w:t>
            </w:r>
          </w:p>
          <w:p>
            <w:pPr>
              <w:snapToGrid w:val="0"/>
              <w:rPr>
                <w:rFonts w:eastAsia="楷体_GB2312"/>
                <w:sz w:val="24"/>
              </w:rPr>
            </w:pPr>
            <w:r>
              <w:rPr>
                <w:rFonts w:eastAsia="楷体_GB2312"/>
                <w:sz w:val="24"/>
              </w:rPr>
              <w:t>工业企业设计卫生标准。</w:t>
            </w:r>
          </w:p>
          <w:p>
            <w:pPr>
              <w:snapToGrid w:val="0"/>
              <w:rPr>
                <w:rFonts w:eastAsia="楷体_GB2312"/>
                <w:sz w:val="24"/>
              </w:rPr>
            </w:pPr>
            <w:r>
              <w:rPr>
                <w:rFonts w:eastAsia="楷体_GB2312"/>
                <w:sz w:val="24"/>
              </w:rPr>
              <w:t>《自动控制技术条件》。</w:t>
            </w:r>
          </w:p>
          <w:p>
            <w:pPr>
              <w:snapToGrid w:val="0"/>
              <w:rPr>
                <w:rFonts w:eastAsia="楷体_GB2312"/>
                <w:sz w:val="24"/>
              </w:rPr>
            </w:pPr>
            <w:r>
              <w:rPr>
                <w:rFonts w:eastAsia="楷体_GB2312"/>
                <w:sz w:val="24"/>
              </w:rPr>
              <w:t>于ISO9000</w:t>
            </w:r>
            <w:r>
              <w:rPr>
                <w:rFonts w:hint="eastAsia" w:eastAsia="楷体_GB2312"/>
                <w:sz w:val="24"/>
                <w:lang w:eastAsia="zh-CN"/>
              </w:rPr>
              <w:t>:</w:t>
            </w:r>
            <w:r>
              <w:rPr>
                <w:rFonts w:eastAsia="楷体_GB2312"/>
                <w:sz w:val="24"/>
              </w:rPr>
              <w:t>2008的质量保证系统。</w:t>
            </w:r>
          </w:p>
        </w:tc>
        <w:tc>
          <w:tcPr>
            <w:tcW w:w="792" w:type="pct"/>
            <w:vAlign w:val="center"/>
          </w:tcPr>
          <w:p>
            <w:pPr>
              <w:snapToGrid w:val="0"/>
              <w:jc w:val="center"/>
              <w:rPr>
                <w:rFonts w:eastAsia="楷体_GB2312"/>
                <w:sz w:val="24"/>
              </w:rPr>
            </w:pPr>
            <w:r>
              <w:rPr>
                <w:rFonts w:eastAsia="楷体_GB2312"/>
                <w:sz w:val="24"/>
              </w:rPr>
              <w:t>必需</w:t>
            </w:r>
          </w:p>
        </w:tc>
        <w:tc>
          <w:tcPr>
            <w:tcW w:w="773" w:type="pct"/>
            <w:vAlign w:val="center"/>
          </w:tcPr>
          <w:p>
            <w:pPr>
              <w:snapToGrid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30" w:hRule="exact"/>
        </w:trPr>
        <w:tc>
          <w:tcPr>
            <w:tcW w:w="432" w:type="pct"/>
            <w:vAlign w:val="center"/>
          </w:tcPr>
          <w:p>
            <w:pPr>
              <w:snapToGrid w:val="0"/>
              <w:jc w:val="center"/>
              <w:rPr>
                <w:rFonts w:eastAsia="楷体_GB2312"/>
                <w:sz w:val="24"/>
              </w:rPr>
            </w:pPr>
            <w:r>
              <w:rPr>
                <w:rFonts w:eastAsia="楷体_GB2312"/>
                <w:sz w:val="24"/>
              </w:rPr>
              <w:t>2.2</w:t>
            </w:r>
          </w:p>
        </w:tc>
        <w:tc>
          <w:tcPr>
            <w:tcW w:w="3004" w:type="pct"/>
            <w:vAlign w:val="center"/>
          </w:tcPr>
          <w:p>
            <w:pPr>
              <w:snapToGrid w:val="0"/>
              <w:rPr>
                <w:rFonts w:eastAsia="楷体_GB2312"/>
                <w:sz w:val="24"/>
              </w:rPr>
            </w:pPr>
            <w:r>
              <w:rPr>
                <w:rFonts w:eastAsia="楷体_GB2312"/>
                <w:sz w:val="24"/>
              </w:rPr>
              <w:t>国家标准（执行最新版）</w:t>
            </w:r>
            <w:r>
              <w:rPr>
                <w:rFonts w:hint="eastAsia" w:eastAsia="楷体_GB2312"/>
                <w:sz w:val="24"/>
                <w:lang w:eastAsia="zh-CN"/>
              </w:rPr>
              <w:t>：</w:t>
            </w:r>
          </w:p>
          <w:p>
            <w:pPr>
              <w:snapToGrid w:val="0"/>
              <w:ind w:firstLine="240" w:firstLineChars="100"/>
              <w:rPr>
                <w:rFonts w:eastAsia="楷体_GB2312"/>
                <w:sz w:val="24"/>
              </w:rPr>
            </w:pPr>
            <w:r>
              <w:rPr>
                <w:rFonts w:eastAsia="楷体_GB2312"/>
                <w:sz w:val="24"/>
              </w:rPr>
              <w:t>机械安全机械电气设备第一部分：通用技术条件；</w:t>
            </w:r>
          </w:p>
          <w:p>
            <w:pPr>
              <w:snapToGrid w:val="0"/>
              <w:ind w:firstLine="240" w:firstLineChars="100"/>
              <w:rPr>
                <w:rFonts w:eastAsia="楷体_GB2312"/>
                <w:sz w:val="24"/>
              </w:rPr>
            </w:pPr>
            <w:r>
              <w:rPr>
                <w:rFonts w:eastAsia="楷体_GB2312"/>
                <w:sz w:val="24"/>
              </w:rPr>
              <w:t>机械设计防护罩安全要求；</w:t>
            </w:r>
          </w:p>
          <w:p>
            <w:pPr>
              <w:snapToGrid w:val="0"/>
              <w:ind w:firstLine="120" w:firstLineChars="50"/>
              <w:rPr>
                <w:rFonts w:eastAsia="楷体_GB2312"/>
                <w:sz w:val="24"/>
              </w:rPr>
            </w:pPr>
            <w:r>
              <w:rPr>
                <w:rFonts w:eastAsia="楷体_GB2312"/>
                <w:sz w:val="24"/>
              </w:rPr>
              <w:t>《机械产品电气安全要求通用要求》；</w:t>
            </w:r>
          </w:p>
          <w:p>
            <w:pPr>
              <w:snapToGrid w:val="0"/>
              <w:ind w:firstLine="120" w:firstLineChars="50"/>
              <w:rPr>
                <w:rFonts w:eastAsia="楷体_GB2312"/>
                <w:sz w:val="24"/>
              </w:rPr>
            </w:pPr>
            <w:r>
              <w:rPr>
                <w:rFonts w:eastAsia="楷体_GB2312"/>
                <w:sz w:val="24"/>
              </w:rPr>
              <w:t>《电气设备环境要求及其试验方法》。</w:t>
            </w:r>
          </w:p>
        </w:tc>
        <w:tc>
          <w:tcPr>
            <w:tcW w:w="792" w:type="pct"/>
            <w:vAlign w:val="center"/>
          </w:tcPr>
          <w:p>
            <w:pPr>
              <w:snapToGrid w:val="0"/>
              <w:jc w:val="center"/>
              <w:rPr>
                <w:rFonts w:eastAsia="楷体_GB2312"/>
                <w:sz w:val="24"/>
              </w:rPr>
            </w:pPr>
            <w:r>
              <w:rPr>
                <w:rFonts w:eastAsia="楷体_GB2312"/>
                <w:sz w:val="24"/>
              </w:rPr>
              <w:t>必需</w:t>
            </w:r>
          </w:p>
        </w:tc>
        <w:tc>
          <w:tcPr>
            <w:tcW w:w="773" w:type="pct"/>
            <w:vAlign w:val="center"/>
          </w:tcPr>
          <w:p>
            <w:pPr>
              <w:snapToGrid w:val="0"/>
              <w:jc w:val="center"/>
              <w:rPr>
                <w:rFonts w:eastAsia="楷体_GB2312"/>
                <w:sz w:val="24"/>
              </w:rPr>
            </w:pPr>
          </w:p>
        </w:tc>
      </w:tr>
    </w:tbl>
    <w:p>
      <w:pPr>
        <w:snapToGrid w:val="0"/>
        <w:spacing w:line="560" w:lineRule="exact"/>
        <w:ind w:firstLine="643" w:firstLineChars="200"/>
        <w:outlineLvl w:val="0"/>
        <w:rPr>
          <w:rFonts w:eastAsia="仿宋_GB2312"/>
          <w:b/>
          <w:sz w:val="32"/>
          <w:szCs w:val="32"/>
        </w:rPr>
      </w:pPr>
      <w:bookmarkStart w:id="20" w:name="_Toc513628067"/>
      <w:bookmarkStart w:id="21" w:name="_Toc522719325"/>
      <w:r>
        <w:rPr>
          <w:rFonts w:eastAsia="仿宋_GB2312"/>
          <w:b/>
          <w:sz w:val="32"/>
          <w:szCs w:val="32"/>
        </w:rPr>
        <w:t>3.工艺要求</w:t>
      </w:r>
      <w:bookmarkEnd w:id="20"/>
      <w:bookmarkEnd w:id="21"/>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5519"/>
        <w:gridCol w:w="1435"/>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3" w:hRule="exact"/>
          <w:jc w:val="center"/>
        </w:trPr>
        <w:tc>
          <w:tcPr>
            <w:tcW w:w="389" w:type="pct"/>
            <w:vAlign w:val="center"/>
          </w:tcPr>
          <w:p>
            <w:pPr>
              <w:snapToGrid w:val="0"/>
              <w:jc w:val="center"/>
              <w:rPr>
                <w:rFonts w:eastAsia="楷体_GB2312"/>
                <w:sz w:val="24"/>
              </w:rPr>
            </w:pPr>
            <w:r>
              <w:rPr>
                <w:rFonts w:eastAsia="楷体_GB2312"/>
                <w:sz w:val="24"/>
              </w:rPr>
              <w:t>序号</w:t>
            </w:r>
          </w:p>
        </w:tc>
        <w:tc>
          <w:tcPr>
            <w:tcW w:w="3046" w:type="pct"/>
            <w:vAlign w:val="center"/>
          </w:tcPr>
          <w:p>
            <w:pPr>
              <w:snapToGrid w:val="0"/>
              <w:jc w:val="center"/>
              <w:rPr>
                <w:rFonts w:eastAsia="楷体_GB2312"/>
                <w:sz w:val="24"/>
              </w:rPr>
            </w:pPr>
            <w:r>
              <w:rPr>
                <w:rFonts w:eastAsia="楷体_GB2312"/>
                <w:sz w:val="24"/>
              </w:rPr>
              <w:t>需求内容</w:t>
            </w:r>
          </w:p>
        </w:tc>
        <w:tc>
          <w:tcPr>
            <w:tcW w:w="792" w:type="pct"/>
            <w:vAlign w:val="center"/>
          </w:tcPr>
          <w:p>
            <w:pPr>
              <w:snapToGrid w:val="0"/>
              <w:jc w:val="center"/>
              <w:rPr>
                <w:rFonts w:eastAsia="楷体_GB2312"/>
                <w:sz w:val="24"/>
              </w:rPr>
            </w:pPr>
            <w:r>
              <w:rPr>
                <w:rFonts w:eastAsia="楷体_GB2312"/>
                <w:sz w:val="24"/>
              </w:rPr>
              <w:t>必需或期望</w:t>
            </w:r>
          </w:p>
        </w:tc>
        <w:tc>
          <w:tcPr>
            <w:tcW w:w="773" w:type="pct"/>
            <w:vAlign w:val="center"/>
          </w:tcPr>
          <w:p>
            <w:pPr>
              <w:snapToGrid w:val="0"/>
              <w:jc w:val="center"/>
              <w:rPr>
                <w:rFonts w:eastAsia="楷体_GB2312"/>
                <w:sz w:val="24"/>
              </w:rPr>
            </w:pPr>
            <w:r>
              <w:rPr>
                <w:rFonts w:eastAsia="楷体_GB2312"/>
                <w:sz w:val="24"/>
              </w:rPr>
              <w:t>供方响应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exact"/>
          <w:jc w:val="center"/>
        </w:trPr>
        <w:tc>
          <w:tcPr>
            <w:tcW w:w="389" w:type="pct"/>
            <w:vAlign w:val="center"/>
          </w:tcPr>
          <w:p>
            <w:pPr>
              <w:numPr>
                <w:ilvl w:val="1"/>
                <w:numId w:val="3"/>
              </w:numPr>
              <w:snapToGrid w:val="0"/>
              <w:jc w:val="center"/>
              <w:outlineLvl w:val="1"/>
              <w:rPr>
                <w:rFonts w:eastAsia="楷体_GB2312"/>
                <w:sz w:val="24"/>
              </w:rPr>
            </w:pPr>
          </w:p>
        </w:tc>
        <w:tc>
          <w:tcPr>
            <w:tcW w:w="3046" w:type="pct"/>
            <w:vAlign w:val="center"/>
          </w:tcPr>
          <w:p>
            <w:pPr>
              <w:snapToGrid w:val="0"/>
              <w:rPr>
                <w:rFonts w:eastAsia="楷体_GB2312"/>
                <w:sz w:val="24"/>
                <w:lang w:val="es-ES"/>
              </w:rPr>
            </w:pPr>
            <w:r>
              <w:rPr>
                <w:rFonts w:eastAsia="楷体_GB2312"/>
                <w:sz w:val="24"/>
                <w:lang w:val="es-ES"/>
              </w:rPr>
              <w:t>设备理料、装篮、计数速度不低于400碗/min。</w:t>
            </w:r>
          </w:p>
        </w:tc>
        <w:tc>
          <w:tcPr>
            <w:tcW w:w="792" w:type="pct"/>
            <w:vAlign w:val="center"/>
          </w:tcPr>
          <w:p>
            <w:pPr>
              <w:snapToGrid w:val="0"/>
              <w:jc w:val="center"/>
              <w:rPr>
                <w:rFonts w:eastAsia="楷体_GB2312"/>
                <w:sz w:val="24"/>
              </w:rPr>
            </w:pPr>
            <w:r>
              <w:rPr>
                <w:rFonts w:ascii="Segoe UI Symbol" w:hAnsi="Segoe UI Symbol" w:eastAsia="楷体_GB2312" w:cs="Segoe UI Symbol"/>
                <w:b/>
                <w:bCs/>
                <w:sz w:val="24"/>
              </w:rPr>
              <w:t>★</w:t>
            </w:r>
            <w:r>
              <w:rPr>
                <w:rFonts w:eastAsia="楷体_GB2312"/>
                <w:sz w:val="24"/>
              </w:rPr>
              <w:t>必需</w:t>
            </w:r>
          </w:p>
        </w:tc>
        <w:tc>
          <w:tcPr>
            <w:tcW w:w="773" w:type="pct"/>
          </w:tcPr>
          <w:p>
            <w:pPr>
              <w:snapToGrid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7" w:hRule="exact"/>
          <w:jc w:val="center"/>
        </w:trPr>
        <w:tc>
          <w:tcPr>
            <w:tcW w:w="389" w:type="pct"/>
            <w:vAlign w:val="center"/>
          </w:tcPr>
          <w:p>
            <w:pPr>
              <w:numPr>
                <w:ilvl w:val="1"/>
                <w:numId w:val="3"/>
              </w:numPr>
              <w:snapToGrid w:val="0"/>
              <w:jc w:val="center"/>
              <w:outlineLvl w:val="1"/>
              <w:rPr>
                <w:rFonts w:eastAsia="楷体_GB2312"/>
                <w:sz w:val="24"/>
              </w:rPr>
            </w:pPr>
          </w:p>
        </w:tc>
        <w:tc>
          <w:tcPr>
            <w:tcW w:w="3046" w:type="pct"/>
            <w:vAlign w:val="center"/>
          </w:tcPr>
          <w:p>
            <w:pPr>
              <w:snapToGrid w:val="0"/>
              <w:rPr>
                <w:rFonts w:eastAsia="楷体_GB2312"/>
                <w:sz w:val="24"/>
                <w:lang w:val="es-ES"/>
              </w:rPr>
            </w:pPr>
            <w:r>
              <w:rPr>
                <w:rFonts w:eastAsia="楷体_GB2312"/>
                <w:sz w:val="24"/>
              </w:rPr>
              <w:t>设备应具备自动理料功能，可将提升上来凌乱无序的塑碗龟苓膏整理成单列输出，以便后工序计数装篮，理料速度不低于400碗/min，理料过程中产品无挤压变形、无表面划伤等质量问题。</w:t>
            </w:r>
          </w:p>
        </w:tc>
        <w:tc>
          <w:tcPr>
            <w:tcW w:w="792" w:type="pct"/>
            <w:vAlign w:val="center"/>
          </w:tcPr>
          <w:p>
            <w:pPr>
              <w:snapToGrid w:val="0"/>
              <w:jc w:val="center"/>
              <w:rPr>
                <w:rFonts w:eastAsia="楷体_GB2312"/>
                <w:sz w:val="24"/>
              </w:rPr>
            </w:pPr>
            <w:r>
              <w:rPr>
                <w:rFonts w:ascii="Segoe UI Symbol" w:hAnsi="Segoe UI Symbol" w:eastAsia="楷体_GB2312" w:cs="Segoe UI Symbol"/>
                <w:b/>
                <w:bCs/>
                <w:sz w:val="24"/>
              </w:rPr>
              <w:t>★</w:t>
            </w:r>
            <w:r>
              <w:rPr>
                <w:rFonts w:eastAsia="楷体_GB2312"/>
                <w:sz w:val="24"/>
              </w:rPr>
              <w:t>必需</w:t>
            </w:r>
          </w:p>
        </w:tc>
        <w:tc>
          <w:tcPr>
            <w:tcW w:w="773" w:type="pct"/>
          </w:tcPr>
          <w:p>
            <w:pPr>
              <w:snapToGrid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3" w:hRule="exact"/>
          <w:jc w:val="center"/>
        </w:trPr>
        <w:tc>
          <w:tcPr>
            <w:tcW w:w="389" w:type="pct"/>
            <w:vAlign w:val="center"/>
          </w:tcPr>
          <w:p>
            <w:pPr>
              <w:numPr>
                <w:ilvl w:val="1"/>
                <w:numId w:val="3"/>
              </w:numPr>
              <w:snapToGrid w:val="0"/>
              <w:jc w:val="center"/>
              <w:outlineLvl w:val="1"/>
              <w:rPr>
                <w:rFonts w:eastAsia="楷体_GB2312"/>
                <w:sz w:val="24"/>
              </w:rPr>
            </w:pPr>
          </w:p>
        </w:tc>
        <w:tc>
          <w:tcPr>
            <w:tcW w:w="3046" w:type="pct"/>
            <w:vAlign w:val="center"/>
          </w:tcPr>
          <w:p>
            <w:pPr>
              <w:snapToGrid w:val="0"/>
              <w:rPr>
                <w:rFonts w:eastAsia="楷体_GB2312"/>
                <w:kern w:val="0"/>
                <w:sz w:val="24"/>
              </w:rPr>
            </w:pPr>
            <w:r>
              <w:rPr>
                <w:rFonts w:eastAsia="楷体_GB2312"/>
                <w:sz w:val="24"/>
                <w:lang w:val="es-ES"/>
              </w:rPr>
              <w:t>设备应具备专用空篮自动输送系统，人工放置空篮至系统输入端，空篮根据程序自动输送至装篮工位，系统至少可缓存5个空篮。</w:t>
            </w:r>
          </w:p>
        </w:tc>
        <w:tc>
          <w:tcPr>
            <w:tcW w:w="792" w:type="pct"/>
            <w:vAlign w:val="center"/>
          </w:tcPr>
          <w:p>
            <w:pPr>
              <w:snapToGrid w:val="0"/>
              <w:jc w:val="center"/>
              <w:rPr>
                <w:rFonts w:eastAsia="楷体_GB2312"/>
                <w:sz w:val="24"/>
              </w:rPr>
            </w:pPr>
            <w:r>
              <w:rPr>
                <w:rFonts w:ascii="Segoe UI Symbol" w:hAnsi="Segoe UI Symbol" w:eastAsia="楷体_GB2312" w:cs="Segoe UI Symbol"/>
                <w:b/>
                <w:bCs/>
                <w:sz w:val="24"/>
              </w:rPr>
              <w:t>★</w:t>
            </w:r>
            <w:r>
              <w:rPr>
                <w:rFonts w:eastAsia="楷体_GB2312"/>
                <w:sz w:val="24"/>
              </w:rPr>
              <w:t>必需</w:t>
            </w:r>
          </w:p>
        </w:tc>
        <w:tc>
          <w:tcPr>
            <w:tcW w:w="773" w:type="pct"/>
          </w:tcPr>
          <w:p>
            <w:pPr>
              <w:snapToGrid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52" w:hRule="exact"/>
          <w:jc w:val="center"/>
        </w:trPr>
        <w:tc>
          <w:tcPr>
            <w:tcW w:w="389" w:type="pct"/>
            <w:vAlign w:val="center"/>
          </w:tcPr>
          <w:p>
            <w:pPr>
              <w:numPr>
                <w:ilvl w:val="1"/>
                <w:numId w:val="3"/>
              </w:numPr>
              <w:snapToGrid w:val="0"/>
              <w:jc w:val="center"/>
              <w:outlineLvl w:val="1"/>
              <w:rPr>
                <w:rFonts w:eastAsia="楷体_GB2312"/>
                <w:sz w:val="24"/>
              </w:rPr>
            </w:pPr>
          </w:p>
        </w:tc>
        <w:tc>
          <w:tcPr>
            <w:tcW w:w="3046" w:type="pct"/>
            <w:vAlign w:val="center"/>
          </w:tcPr>
          <w:p>
            <w:pPr>
              <w:snapToGrid w:val="0"/>
              <w:rPr>
                <w:rFonts w:eastAsia="楷体_GB2312"/>
                <w:sz w:val="24"/>
                <w:lang w:val="es-ES"/>
              </w:rPr>
            </w:pPr>
            <w:r>
              <w:rPr>
                <w:rFonts w:eastAsia="楷体_GB2312"/>
                <w:sz w:val="24"/>
                <w:lang w:val="es-ES"/>
              </w:rPr>
              <w:t>设备应具备自动装篮系统，塑碗龟苓膏完成前工序理料后进入自动装篮工序，装篮过程应具备防止产品局部堆积过高导致掉出篮外的有效措施。每篮装60碗，装篮准确率不低于99%。</w:t>
            </w:r>
          </w:p>
        </w:tc>
        <w:tc>
          <w:tcPr>
            <w:tcW w:w="792" w:type="pct"/>
            <w:vAlign w:val="center"/>
          </w:tcPr>
          <w:p>
            <w:pPr>
              <w:snapToGrid w:val="0"/>
              <w:jc w:val="center"/>
              <w:rPr>
                <w:rFonts w:eastAsia="楷体_GB2312"/>
                <w:sz w:val="24"/>
              </w:rPr>
            </w:pPr>
            <w:r>
              <w:rPr>
                <w:rFonts w:ascii="Segoe UI Symbol" w:hAnsi="Segoe UI Symbol" w:eastAsia="楷体_GB2312" w:cs="Segoe UI Symbol"/>
                <w:b/>
                <w:bCs/>
                <w:sz w:val="24"/>
              </w:rPr>
              <w:t>★</w:t>
            </w:r>
            <w:r>
              <w:rPr>
                <w:rFonts w:eastAsia="楷体_GB2312"/>
                <w:sz w:val="24"/>
              </w:rPr>
              <w:t>必需</w:t>
            </w:r>
          </w:p>
        </w:tc>
        <w:tc>
          <w:tcPr>
            <w:tcW w:w="773" w:type="pct"/>
          </w:tcPr>
          <w:p>
            <w:pPr>
              <w:snapToGrid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3" w:hRule="exact"/>
          <w:jc w:val="center"/>
        </w:trPr>
        <w:tc>
          <w:tcPr>
            <w:tcW w:w="389" w:type="pct"/>
            <w:vAlign w:val="center"/>
          </w:tcPr>
          <w:p>
            <w:pPr>
              <w:numPr>
                <w:ilvl w:val="1"/>
                <w:numId w:val="3"/>
              </w:numPr>
              <w:snapToGrid w:val="0"/>
              <w:jc w:val="center"/>
              <w:outlineLvl w:val="1"/>
              <w:rPr>
                <w:rFonts w:eastAsia="楷体_GB2312"/>
                <w:sz w:val="24"/>
              </w:rPr>
            </w:pPr>
          </w:p>
        </w:tc>
        <w:tc>
          <w:tcPr>
            <w:tcW w:w="3046" w:type="pct"/>
            <w:vAlign w:val="center"/>
          </w:tcPr>
          <w:p>
            <w:pPr>
              <w:snapToGrid w:val="0"/>
              <w:rPr>
                <w:rFonts w:eastAsia="楷体_GB2312"/>
                <w:sz w:val="24"/>
                <w:lang w:val="es-ES"/>
              </w:rPr>
            </w:pPr>
            <w:r>
              <w:rPr>
                <w:rFonts w:eastAsia="楷体_GB2312"/>
                <w:sz w:val="24"/>
                <w:lang w:val="es-ES"/>
              </w:rPr>
              <w:t>设备应具备自动计数系统，当前框内产品数量达60碗后应触发停止装篮，直至满篮移出且空篮到位后恢复装篮。计数准确率不低于99 %。</w:t>
            </w:r>
          </w:p>
        </w:tc>
        <w:tc>
          <w:tcPr>
            <w:tcW w:w="792" w:type="pct"/>
            <w:vAlign w:val="center"/>
          </w:tcPr>
          <w:p>
            <w:pPr>
              <w:snapToGrid w:val="0"/>
              <w:jc w:val="center"/>
              <w:rPr>
                <w:rFonts w:eastAsia="楷体_GB2312"/>
                <w:sz w:val="24"/>
              </w:rPr>
            </w:pPr>
            <w:r>
              <w:rPr>
                <w:rFonts w:ascii="Segoe UI Symbol" w:hAnsi="Segoe UI Symbol" w:eastAsia="楷体_GB2312" w:cs="Segoe UI Symbol"/>
                <w:b/>
                <w:bCs/>
                <w:sz w:val="24"/>
              </w:rPr>
              <w:t>★</w:t>
            </w:r>
            <w:r>
              <w:rPr>
                <w:rFonts w:eastAsia="楷体_GB2312"/>
                <w:sz w:val="24"/>
              </w:rPr>
              <w:t>必需</w:t>
            </w:r>
          </w:p>
        </w:tc>
        <w:tc>
          <w:tcPr>
            <w:tcW w:w="773" w:type="pct"/>
          </w:tcPr>
          <w:p>
            <w:pPr>
              <w:snapToGrid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2" w:hRule="exact"/>
          <w:jc w:val="center"/>
        </w:trPr>
        <w:tc>
          <w:tcPr>
            <w:tcW w:w="389" w:type="pct"/>
            <w:vAlign w:val="center"/>
          </w:tcPr>
          <w:p>
            <w:pPr>
              <w:numPr>
                <w:ilvl w:val="1"/>
                <w:numId w:val="3"/>
              </w:numPr>
              <w:snapToGrid w:val="0"/>
              <w:jc w:val="center"/>
              <w:outlineLvl w:val="1"/>
              <w:rPr>
                <w:rFonts w:eastAsia="楷体_GB2312"/>
                <w:sz w:val="24"/>
              </w:rPr>
            </w:pPr>
          </w:p>
        </w:tc>
        <w:tc>
          <w:tcPr>
            <w:tcW w:w="3046" w:type="pct"/>
            <w:vAlign w:val="center"/>
          </w:tcPr>
          <w:p>
            <w:pPr>
              <w:snapToGrid w:val="0"/>
              <w:rPr>
                <w:rFonts w:eastAsia="楷体_GB2312"/>
                <w:sz w:val="24"/>
                <w:lang w:val="es-ES"/>
              </w:rPr>
            </w:pPr>
            <w:r>
              <w:rPr>
                <w:rFonts w:eastAsia="楷体_GB2312"/>
                <w:sz w:val="24"/>
                <w:lang w:val="es-ES"/>
              </w:rPr>
              <w:t>设备应具备专用满篮自动输送系统，当塑料篮装满后自动输出至指定位置，系统缓存满篮数量不低于5篮。</w:t>
            </w:r>
          </w:p>
        </w:tc>
        <w:tc>
          <w:tcPr>
            <w:tcW w:w="792" w:type="pct"/>
            <w:vAlign w:val="center"/>
          </w:tcPr>
          <w:p>
            <w:pPr>
              <w:snapToGrid w:val="0"/>
              <w:jc w:val="center"/>
              <w:rPr>
                <w:rFonts w:eastAsia="楷体_GB2312"/>
                <w:sz w:val="24"/>
              </w:rPr>
            </w:pPr>
            <w:r>
              <w:rPr>
                <w:rFonts w:ascii="Segoe UI Symbol" w:hAnsi="Segoe UI Symbol" w:eastAsia="楷体_GB2312" w:cs="Segoe UI Symbol"/>
                <w:b/>
                <w:bCs/>
                <w:sz w:val="24"/>
              </w:rPr>
              <w:t>★</w:t>
            </w:r>
            <w:r>
              <w:rPr>
                <w:rFonts w:eastAsia="楷体_GB2312"/>
                <w:sz w:val="24"/>
              </w:rPr>
              <w:t>必需</w:t>
            </w:r>
          </w:p>
        </w:tc>
        <w:tc>
          <w:tcPr>
            <w:tcW w:w="773" w:type="pct"/>
          </w:tcPr>
          <w:p>
            <w:pPr>
              <w:snapToGrid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6" w:hRule="exact"/>
          <w:jc w:val="center"/>
        </w:trPr>
        <w:tc>
          <w:tcPr>
            <w:tcW w:w="389" w:type="pct"/>
            <w:vAlign w:val="center"/>
          </w:tcPr>
          <w:p>
            <w:pPr>
              <w:numPr>
                <w:ilvl w:val="1"/>
                <w:numId w:val="3"/>
              </w:numPr>
              <w:snapToGrid w:val="0"/>
              <w:jc w:val="center"/>
              <w:outlineLvl w:val="1"/>
              <w:rPr>
                <w:rFonts w:eastAsia="楷体_GB2312"/>
                <w:sz w:val="24"/>
              </w:rPr>
            </w:pPr>
          </w:p>
        </w:tc>
        <w:tc>
          <w:tcPr>
            <w:tcW w:w="3046" w:type="pct"/>
            <w:vAlign w:val="center"/>
          </w:tcPr>
          <w:p>
            <w:pPr>
              <w:snapToGrid w:val="0"/>
              <w:rPr>
                <w:rFonts w:eastAsia="楷体_GB2312"/>
                <w:sz w:val="24"/>
                <w:lang w:val="es-ES"/>
              </w:rPr>
            </w:pPr>
            <w:r>
              <w:rPr>
                <w:rFonts w:eastAsia="楷体_GB2312"/>
                <w:sz w:val="24"/>
                <w:lang w:val="es-ES"/>
              </w:rPr>
              <w:t>设备应具备联控功能，当装篮系统出现故障停机时应将停机信号发送至前端产品提升装置及塑碗卸笼装置，并触发前端装置及时停机，防止产品拥堵。</w:t>
            </w:r>
          </w:p>
        </w:tc>
        <w:tc>
          <w:tcPr>
            <w:tcW w:w="792" w:type="pct"/>
            <w:vAlign w:val="center"/>
          </w:tcPr>
          <w:p>
            <w:pPr>
              <w:snapToGrid w:val="0"/>
              <w:jc w:val="center"/>
              <w:rPr>
                <w:rFonts w:eastAsia="楷体_GB2312"/>
                <w:sz w:val="24"/>
              </w:rPr>
            </w:pPr>
            <w:r>
              <w:rPr>
                <w:rFonts w:ascii="Segoe UI Symbol" w:hAnsi="Segoe UI Symbol" w:eastAsia="楷体_GB2312" w:cs="Segoe UI Symbol"/>
                <w:b/>
                <w:bCs/>
                <w:sz w:val="24"/>
              </w:rPr>
              <w:t>★</w:t>
            </w:r>
            <w:r>
              <w:rPr>
                <w:rFonts w:eastAsia="楷体_GB2312"/>
                <w:sz w:val="24"/>
              </w:rPr>
              <w:t>必需</w:t>
            </w:r>
          </w:p>
        </w:tc>
        <w:tc>
          <w:tcPr>
            <w:tcW w:w="773" w:type="pct"/>
          </w:tcPr>
          <w:p>
            <w:pPr>
              <w:snapToGrid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2" w:hRule="exact"/>
          <w:jc w:val="center"/>
        </w:trPr>
        <w:tc>
          <w:tcPr>
            <w:tcW w:w="389" w:type="pct"/>
            <w:vAlign w:val="center"/>
          </w:tcPr>
          <w:p>
            <w:pPr>
              <w:numPr>
                <w:ilvl w:val="1"/>
                <w:numId w:val="3"/>
              </w:numPr>
              <w:snapToGrid w:val="0"/>
              <w:jc w:val="center"/>
              <w:outlineLvl w:val="1"/>
              <w:rPr>
                <w:rFonts w:eastAsia="楷体_GB2312"/>
                <w:sz w:val="24"/>
              </w:rPr>
            </w:pPr>
          </w:p>
        </w:tc>
        <w:tc>
          <w:tcPr>
            <w:tcW w:w="3046" w:type="pct"/>
            <w:vAlign w:val="center"/>
          </w:tcPr>
          <w:p>
            <w:pPr>
              <w:snapToGrid w:val="0"/>
              <w:rPr>
                <w:rFonts w:eastAsia="楷体_GB2312"/>
                <w:sz w:val="24"/>
                <w:lang w:val="es-ES"/>
              </w:rPr>
            </w:pPr>
            <w:r>
              <w:rPr>
                <w:rFonts w:eastAsia="楷体_GB2312"/>
                <w:sz w:val="24"/>
                <w:lang w:val="es-ES"/>
              </w:rPr>
              <w:t>设备应具备手工作业工位，当自动装篮系统出现故障时可快速便捷地切换到手工作业，手工作业工位应不低于三人，以满足生产需求。</w:t>
            </w:r>
          </w:p>
        </w:tc>
        <w:tc>
          <w:tcPr>
            <w:tcW w:w="792" w:type="pct"/>
            <w:vAlign w:val="center"/>
          </w:tcPr>
          <w:p>
            <w:pPr>
              <w:snapToGrid w:val="0"/>
              <w:jc w:val="center"/>
              <w:rPr>
                <w:rFonts w:eastAsia="楷体_GB2312"/>
                <w:sz w:val="24"/>
              </w:rPr>
            </w:pPr>
            <w:r>
              <w:rPr>
                <w:rFonts w:ascii="Segoe UI Symbol" w:hAnsi="Segoe UI Symbol" w:eastAsia="楷体_GB2312" w:cs="Segoe UI Symbol"/>
                <w:b/>
                <w:bCs/>
                <w:sz w:val="24"/>
              </w:rPr>
              <w:t>★</w:t>
            </w:r>
            <w:r>
              <w:rPr>
                <w:rFonts w:eastAsia="楷体_GB2312"/>
                <w:sz w:val="24"/>
              </w:rPr>
              <w:t>必需</w:t>
            </w:r>
          </w:p>
        </w:tc>
        <w:tc>
          <w:tcPr>
            <w:tcW w:w="773" w:type="pct"/>
          </w:tcPr>
          <w:p>
            <w:pPr>
              <w:snapToGrid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exact"/>
          <w:jc w:val="center"/>
        </w:trPr>
        <w:tc>
          <w:tcPr>
            <w:tcW w:w="389" w:type="pct"/>
            <w:vAlign w:val="center"/>
          </w:tcPr>
          <w:p>
            <w:pPr>
              <w:snapToGrid w:val="0"/>
              <w:spacing w:line="276" w:lineRule="auto"/>
              <w:jc w:val="center"/>
              <w:outlineLvl w:val="1"/>
              <w:rPr>
                <w:rFonts w:eastAsia="楷体_GB2312"/>
                <w:sz w:val="24"/>
              </w:rPr>
            </w:pPr>
            <w:r>
              <w:rPr>
                <w:rFonts w:eastAsia="楷体_GB2312"/>
                <w:sz w:val="24"/>
              </w:rPr>
              <w:t>3.9</w:t>
            </w:r>
          </w:p>
        </w:tc>
        <w:tc>
          <w:tcPr>
            <w:tcW w:w="3046" w:type="pct"/>
            <w:vAlign w:val="center"/>
          </w:tcPr>
          <w:p>
            <w:pPr>
              <w:snapToGrid w:val="0"/>
              <w:spacing w:line="276" w:lineRule="auto"/>
              <w:rPr>
                <w:rFonts w:eastAsia="楷体_GB2312"/>
                <w:sz w:val="24"/>
              </w:rPr>
            </w:pPr>
            <w:r>
              <w:rPr>
                <w:rFonts w:eastAsia="楷体_GB2312"/>
                <w:sz w:val="24"/>
              </w:rPr>
              <w:t>设备能适应每天连续16～20小时不间断开机。</w:t>
            </w:r>
          </w:p>
        </w:tc>
        <w:tc>
          <w:tcPr>
            <w:tcW w:w="792" w:type="pct"/>
            <w:vAlign w:val="center"/>
          </w:tcPr>
          <w:p>
            <w:pPr>
              <w:snapToGrid w:val="0"/>
              <w:spacing w:line="276" w:lineRule="auto"/>
              <w:jc w:val="center"/>
              <w:rPr>
                <w:rFonts w:eastAsia="楷体_GB2312"/>
                <w:sz w:val="24"/>
              </w:rPr>
            </w:pPr>
            <w:r>
              <w:rPr>
                <w:rFonts w:eastAsia="楷体_GB2312"/>
                <w:sz w:val="24"/>
              </w:rPr>
              <w:t>必需</w:t>
            </w:r>
          </w:p>
        </w:tc>
        <w:tc>
          <w:tcPr>
            <w:tcW w:w="773" w:type="pct"/>
          </w:tcPr>
          <w:p>
            <w:pPr>
              <w:snapToGrid w:val="0"/>
              <w:spacing w:line="276" w:lineRule="auto"/>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0" w:hRule="exact"/>
          <w:jc w:val="center"/>
        </w:trPr>
        <w:tc>
          <w:tcPr>
            <w:tcW w:w="389" w:type="pct"/>
            <w:vAlign w:val="center"/>
          </w:tcPr>
          <w:p>
            <w:pPr>
              <w:snapToGrid w:val="0"/>
              <w:spacing w:line="276" w:lineRule="auto"/>
              <w:jc w:val="center"/>
              <w:outlineLvl w:val="1"/>
              <w:rPr>
                <w:rFonts w:eastAsia="楷体_GB2312"/>
                <w:sz w:val="24"/>
              </w:rPr>
            </w:pPr>
            <w:r>
              <w:rPr>
                <w:rFonts w:eastAsia="楷体_GB2312"/>
                <w:sz w:val="24"/>
              </w:rPr>
              <w:t>3.10</w:t>
            </w:r>
          </w:p>
        </w:tc>
        <w:tc>
          <w:tcPr>
            <w:tcW w:w="3046" w:type="pct"/>
            <w:vAlign w:val="center"/>
          </w:tcPr>
          <w:p>
            <w:pPr>
              <w:snapToGrid w:val="0"/>
              <w:spacing w:line="276" w:lineRule="auto"/>
              <w:rPr>
                <w:rFonts w:eastAsia="楷体_GB2312"/>
                <w:sz w:val="24"/>
              </w:rPr>
            </w:pPr>
            <w:r>
              <w:rPr>
                <w:rFonts w:eastAsia="楷体_GB2312"/>
                <w:sz w:val="24"/>
                <w:lang w:val="es-ES"/>
              </w:rPr>
              <w:t>全机为 S304 不锈钢与经阳极处理之高级铝合金制成。</w:t>
            </w:r>
            <w:r>
              <w:rPr>
                <w:rFonts w:eastAsia="楷体_GB2312"/>
                <w:sz w:val="24"/>
              </w:rPr>
              <w:t>表面处理的部位或零件应色泽均匀，无起泡、起层、斑点、锈蚀等缺陷。</w:t>
            </w:r>
          </w:p>
        </w:tc>
        <w:tc>
          <w:tcPr>
            <w:tcW w:w="792" w:type="pct"/>
            <w:vAlign w:val="center"/>
          </w:tcPr>
          <w:p>
            <w:pPr>
              <w:snapToGrid w:val="0"/>
              <w:spacing w:line="276" w:lineRule="auto"/>
              <w:jc w:val="center"/>
              <w:rPr>
                <w:rFonts w:eastAsia="楷体_GB2312"/>
                <w:sz w:val="24"/>
              </w:rPr>
            </w:pPr>
            <w:r>
              <w:rPr>
                <w:rFonts w:eastAsia="楷体_GB2312"/>
                <w:sz w:val="24"/>
              </w:rPr>
              <w:t>必需</w:t>
            </w:r>
          </w:p>
        </w:tc>
        <w:tc>
          <w:tcPr>
            <w:tcW w:w="773" w:type="pct"/>
          </w:tcPr>
          <w:p>
            <w:pPr>
              <w:snapToGrid w:val="0"/>
              <w:spacing w:line="276" w:lineRule="auto"/>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9" w:hRule="exact"/>
          <w:jc w:val="center"/>
        </w:trPr>
        <w:tc>
          <w:tcPr>
            <w:tcW w:w="389" w:type="pct"/>
            <w:vAlign w:val="center"/>
          </w:tcPr>
          <w:p>
            <w:pPr>
              <w:snapToGrid w:val="0"/>
              <w:spacing w:line="276" w:lineRule="auto"/>
              <w:jc w:val="center"/>
              <w:outlineLvl w:val="1"/>
              <w:rPr>
                <w:rFonts w:eastAsia="楷体_GB2312"/>
                <w:sz w:val="24"/>
              </w:rPr>
            </w:pPr>
            <w:r>
              <w:rPr>
                <w:rFonts w:eastAsia="楷体_GB2312"/>
                <w:sz w:val="24"/>
              </w:rPr>
              <w:t>3.11</w:t>
            </w:r>
          </w:p>
        </w:tc>
        <w:tc>
          <w:tcPr>
            <w:tcW w:w="3046" w:type="pct"/>
            <w:vAlign w:val="center"/>
          </w:tcPr>
          <w:p>
            <w:pPr>
              <w:snapToGrid w:val="0"/>
              <w:spacing w:line="276" w:lineRule="auto"/>
              <w:rPr>
                <w:rFonts w:eastAsia="楷体_GB2312"/>
                <w:sz w:val="24"/>
                <w:lang w:val="es-ES"/>
              </w:rPr>
            </w:pPr>
            <w:r>
              <w:rPr>
                <w:rFonts w:eastAsia="楷体_GB2312"/>
                <w:sz w:val="24"/>
              </w:rPr>
              <w:t>设备、附件和连接管线的材质和结构设计，须确保易拆装、无死角、易清洁。</w:t>
            </w:r>
          </w:p>
        </w:tc>
        <w:tc>
          <w:tcPr>
            <w:tcW w:w="792" w:type="pct"/>
            <w:vAlign w:val="center"/>
          </w:tcPr>
          <w:p>
            <w:pPr>
              <w:snapToGrid w:val="0"/>
              <w:spacing w:line="276" w:lineRule="auto"/>
              <w:jc w:val="center"/>
              <w:rPr>
                <w:rFonts w:eastAsia="楷体_GB2312"/>
                <w:sz w:val="24"/>
              </w:rPr>
            </w:pPr>
            <w:r>
              <w:rPr>
                <w:rFonts w:eastAsia="楷体_GB2312"/>
                <w:sz w:val="24"/>
              </w:rPr>
              <w:t>必需</w:t>
            </w:r>
          </w:p>
        </w:tc>
        <w:tc>
          <w:tcPr>
            <w:tcW w:w="773" w:type="pct"/>
          </w:tcPr>
          <w:p>
            <w:pPr>
              <w:snapToGrid w:val="0"/>
              <w:spacing w:line="276" w:lineRule="auto"/>
              <w:jc w:val="center"/>
              <w:rPr>
                <w:rFonts w:eastAsia="楷体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8" w:hRule="exact"/>
          <w:jc w:val="center"/>
        </w:trPr>
        <w:tc>
          <w:tcPr>
            <w:tcW w:w="389" w:type="pct"/>
            <w:vAlign w:val="center"/>
          </w:tcPr>
          <w:p>
            <w:pPr>
              <w:snapToGrid w:val="0"/>
              <w:spacing w:line="276" w:lineRule="auto"/>
              <w:jc w:val="center"/>
              <w:outlineLvl w:val="1"/>
              <w:rPr>
                <w:rFonts w:eastAsia="楷体_GB2312"/>
                <w:sz w:val="24"/>
              </w:rPr>
            </w:pPr>
            <w:r>
              <w:rPr>
                <w:rFonts w:eastAsia="楷体_GB2312"/>
                <w:sz w:val="24"/>
              </w:rPr>
              <w:t>3.12</w:t>
            </w:r>
          </w:p>
        </w:tc>
        <w:tc>
          <w:tcPr>
            <w:tcW w:w="3046" w:type="pct"/>
            <w:vAlign w:val="center"/>
          </w:tcPr>
          <w:p>
            <w:pPr>
              <w:snapToGrid w:val="0"/>
              <w:spacing w:line="276" w:lineRule="auto"/>
              <w:rPr>
                <w:rFonts w:eastAsia="楷体_GB2312"/>
                <w:sz w:val="24"/>
              </w:rPr>
            </w:pPr>
            <w:r>
              <w:rPr>
                <w:rFonts w:eastAsia="楷体_GB2312"/>
                <w:sz w:val="24"/>
              </w:rPr>
              <w:t>要有设备铭牌，标明设备名称、生产日期、设备型号、厂家等信息。</w:t>
            </w:r>
          </w:p>
        </w:tc>
        <w:tc>
          <w:tcPr>
            <w:tcW w:w="792" w:type="pct"/>
            <w:vAlign w:val="center"/>
          </w:tcPr>
          <w:p>
            <w:pPr>
              <w:snapToGrid w:val="0"/>
              <w:spacing w:line="276" w:lineRule="auto"/>
              <w:jc w:val="center"/>
              <w:rPr>
                <w:rFonts w:eastAsia="楷体_GB2312"/>
                <w:sz w:val="24"/>
              </w:rPr>
            </w:pPr>
            <w:r>
              <w:rPr>
                <w:rFonts w:eastAsia="楷体_GB2312"/>
                <w:sz w:val="24"/>
              </w:rPr>
              <w:t>必需</w:t>
            </w:r>
          </w:p>
        </w:tc>
        <w:tc>
          <w:tcPr>
            <w:tcW w:w="773" w:type="pct"/>
          </w:tcPr>
          <w:p>
            <w:pPr>
              <w:snapToGrid w:val="0"/>
              <w:spacing w:line="276" w:lineRule="auto"/>
              <w:jc w:val="center"/>
              <w:rPr>
                <w:rFonts w:eastAsia="楷体_GB2312"/>
                <w:sz w:val="24"/>
              </w:rPr>
            </w:pPr>
          </w:p>
        </w:tc>
      </w:tr>
    </w:tbl>
    <w:p>
      <w:pPr>
        <w:snapToGrid w:val="0"/>
        <w:spacing w:line="560" w:lineRule="exact"/>
        <w:ind w:firstLine="640" w:firstLineChars="200"/>
        <w:outlineLvl w:val="0"/>
        <w:rPr>
          <w:rFonts w:eastAsia="仿宋_GB2312"/>
          <w:bCs/>
          <w:sz w:val="32"/>
          <w:szCs w:val="32"/>
        </w:rPr>
      </w:pPr>
      <w:bookmarkStart w:id="22" w:name="_Toc522719326"/>
      <w:bookmarkStart w:id="23" w:name="_Toc513628068"/>
    </w:p>
    <w:p>
      <w:pPr>
        <w:snapToGrid w:val="0"/>
        <w:spacing w:line="560" w:lineRule="exact"/>
        <w:ind w:firstLine="640" w:firstLineChars="200"/>
        <w:outlineLvl w:val="0"/>
        <w:rPr>
          <w:rFonts w:eastAsia="仿宋_GB2312"/>
          <w:bCs/>
          <w:sz w:val="32"/>
          <w:szCs w:val="32"/>
        </w:rPr>
      </w:pPr>
    </w:p>
    <w:p>
      <w:pPr>
        <w:snapToGrid w:val="0"/>
        <w:spacing w:line="560" w:lineRule="exact"/>
        <w:ind w:firstLine="643" w:firstLineChars="200"/>
        <w:outlineLvl w:val="0"/>
        <w:rPr>
          <w:rFonts w:eastAsia="仿宋_GB2312"/>
          <w:b/>
          <w:sz w:val="32"/>
          <w:szCs w:val="32"/>
        </w:rPr>
      </w:pPr>
      <w:r>
        <w:rPr>
          <w:rFonts w:eastAsia="仿宋_GB2312"/>
          <w:b/>
          <w:sz w:val="32"/>
          <w:szCs w:val="32"/>
        </w:rPr>
        <w:t>4.电气控制要求</w:t>
      </w:r>
      <w:bookmarkEnd w:id="22"/>
      <w:bookmarkEnd w:id="23"/>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5507"/>
        <w:gridCol w:w="1435"/>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exact"/>
          <w:jc w:val="center"/>
        </w:trPr>
        <w:tc>
          <w:tcPr>
            <w:tcW w:w="396" w:type="pct"/>
            <w:vAlign w:val="center"/>
          </w:tcPr>
          <w:p>
            <w:pPr>
              <w:snapToGrid w:val="0"/>
              <w:spacing w:line="276" w:lineRule="auto"/>
              <w:jc w:val="center"/>
              <w:rPr>
                <w:rFonts w:eastAsia="楷体_GB2312"/>
                <w:sz w:val="24"/>
              </w:rPr>
            </w:pPr>
            <w:r>
              <w:rPr>
                <w:rFonts w:eastAsia="楷体_GB2312"/>
                <w:sz w:val="24"/>
              </w:rPr>
              <w:t>序号</w:t>
            </w:r>
          </w:p>
        </w:tc>
        <w:tc>
          <w:tcPr>
            <w:tcW w:w="3039" w:type="pct"/>
            <w:vAlign w:val="center"/>
          </w:tcPr>
          <w:p>
            <w:pPr>
              <w:snapToGrid w:val="0"/>
              <w:spacing w:line="276" w:lineRule="auto"/>
              <w:jc w:val="center"/>
              <w:rPr>
                <w:rFonts w:eastAsia="楷体_GB2312"/>
                <w:sz w:val="24"/>
              </w:rPr>
            </w:pPr>
            <w:r>
              <w:rPr>
                <w:rFonts w:eastAsia="楷体_GB2312"/>
                <w:sz w:val="24"/>
              </w:rPr>
              <w:t>需求内容</w:t>
            </w:r>
          </w:p>
        </w:tc>
        <w:tc>
          <w:tcPr>
            <w:tcW w:w="792" w:type="pct"/>
            <w:vAlign w:val="center"/>
          </w:tcPr>
          <w:p>
            <w:pPr>
              <w:snapToGrid w:val="0"/>
              <w:spacing w:line="276" w:lineRule="auto"/>
              <w:jc w:val="center"/>
              <w:rPr>
                <w:rFonts w:eastAsia="楷体_GB2312"/>
                <w:sz w:val="24"/>
              </w:rPr>
            </w:pPr>
            <w:r>
              <w:rPr>
                <w:rFonts w:eastAsia="楷体_GB2312"/>
                <w:sz w:val="24"/>
              </w:rPr>
              <w:t>必需或期望</w:t>
            </w:r>
          </w:p>
        </w:tc>
        <w:tc>
          <w:tcPr>
            <w:tcW w:w="773" w:type="pct"/>
            <w:vAlign w:val="center"/>
          </w:tcPr>
          <w:p>
            <w:pPr>
              <w:snapToGrid w:val="0"/>
              <w:spacing w:line="276" w:lineRule="auto"/>
              <w:jc w:val="center"/>
              <w:rPr>
                <w:rFonts w:eastAsia="楷体_GB2312"/>
                <w:sz w:val="24"/>
              </w:rPr>
            </w:pPr>
            <w:r>
              <w:rPr>
                <w:rFonts w:eastAsia="楷体_GB2312"/>
                <w:sz w:val="24"/>
              </w:rPr>
              <w:t>供方响应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1" w:hRule="exact"/>
          <w:jc w:val="center"/>
        </w:trPr>
        <w:tc>
          <w:tcPr>
            <w:tcW w:w="396" w:type="pct"/>
            <w:vAlign w:val="center"/>
          </w:tcPr>
          <w:p>
            <w:pPr>
              <w:snapToGrid w:val="0"/>
              <w:spacing w:line="276" w:lineRule="auto"/>
              <w:jc w:val="center"/>
              <w:rPr>
                <w:rFonts w:eastAsia="楷体_GB2312"/>
                <w:sz w:val="24"/>
              </w:rPr>
            </w:pPr>
            <w:r>
              <w:rPr>
                <w:rFonts w:eastAsia="楷体_GB2312"/>
                <w:sz w:val="24"/>
              </w:rPr>
              <w:t>4.1</w:t>
            </w:r>
          </w:p>
        </w:tc>
        <w:tc>
          <w:tcPr>
            <w:tcW w:w="3039" w:type="pct"/>
            <w:vAlign w:val="center"/>
          </w:tcPr>
          <w:p>
            <w:pPr>
              <w:snapToGrid w:val="0"/>
              <w:spacing w:line="276" w:lineRule="auto"/>
              <w:rPr>
                <w:rFonts w:eastAsia="楷体_GB2312"/>
                <w:sz w:val="24"/>
              </w:rPr>
            </w:pPr>
            <w:r>
              <w:rPr>
                <w:rFonts w:eastAsia="楷体_GB2312"/>
                <w:sz w:val="24"/>
              </w:rPr>
              <w:t>设备供电应为220V或380v，具有接地线和中性线，有明显警示标识。</w:t>
            </w:r>
          </w:p>
        </w:tc>
        <w:tc>
          <w:tcPr>
            <w:tcW w:w="792" w:type="pct"/>
            <w:vAlign w:val="center"/>
          </w:tcPr>
          <w:p>
            <w:pPr>
              <w:snapToGrid w:val="0"/>
              <w:spacing w:line="276" w:lineRule="auto"/>
              <w:jc w:val="center"/>
              <w:rPr>
                <w:rFonts w:eastAsia="楷体_GB2312"/>
                <w:sz w:val="24"/>
              </w:rPr>
            </w:pPr>
            <w:r>
              <w:rPr>
                <w:rFonts w:eastAsia="楷体_GB2312"/>
                <w:sz w:val="24"/>
              </w:rPr>
              <w:t>必需</w:t>
            </w:r>
          </w:p>
        </w:tc>
        <w:tc>
          <w:tcPr>
            <w:tcW w:w="773" w:type="pct"/>
          </w:tcPr>
          <w:p>
            <w:pPr>
              <w:snapToGrid w:val="0"/>
              <w:spacing w:line="276" w:lineRule="auto"/>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3" w:hRule="exact"/>
          <w:jc w:val="center"/>
        </w:trPr>
        <w:tc>
          <w:tcPr>
            <w:tcW w:w="396" w:type="pct"/>
            <w:vAlign w:val="center"/>
          </w:tcPr>
          <w:p>
            <w:pPr>
              <w:snapToGrid w:val="0"/>
              <w:spacing w:line="276" w:lineRule="auto"/>
              <w:jc w:val="center"/>
              <w:rPr>
                <w:rFonts w:eastAsia="楷体_GB2312"/>
                <w:sz w:val="24"/>
              </w:rPr>
            </w:pPr>
            <w:r>
              <w:rPr>
                <w:rFonts w:eastAsia="楷体_GB2312"/>
                <w:sz w:val="24"/>
              </w:rPr>
              <w:t>4.2</w:t>
            </w:r>
          </w:p>
        </w:tc>
        <w:tc>
          <w:tcPr>
            <w:tcW w:w="3039" w:type="pct"/>
            <w:vAlign w:val="center"/>
          </w:tcPr>
          <w:p>
            <w:pPr>
              <w:snapToGrid w:val="0"/>
              <w:spacing w:line="276" w:lineRule="auto"/>
              <w:rPr>
                <w:rFonts w:eastAsia="楷体_GB2312"/>
                <w:sz w:val="24"/>
              </w:rPr>
            </w:pPr>
            <w:r>
              <w:rPr>
                <w:rFonts w:eastAsia="楷体_GB2312"/>
                <w:sz w:val="24"/>
              </w:rPr>
              <w:t>设备操作系统应采用触摸屏操作系统，触摸屏、PLC及模块应采用西门子、三菱、欧姆龙或同等知名品牌</w:t>
            </w:r>
            <w:r>
              <w:rPr>
                <w:rFonts w:hint="eastAsia" w:eastAsia="楷体_GB2312"/>
                <w:sz w:val="24"/>
              </w:rPr>
              <w:t>。</w:t>
            </w:r>
          </w:p>
        </w:tc>
        <w:tc>
          <w:tcPr>
            <w:tcW w:w="792" w:type="pct"/>
            <w:vAlign w:val="center"/>
          </w:tcPr>
          <w:p>
            <w:pPr>
              <w:snapToGrid w:val="0"/>
              <w:spacing w:line="276" w:lineRule="auto"/>
              <w:jc w:val="center"/>
              <w:rPr>
                <w:rFonts w:eastAsia="楷体_GB2312"/>
                <w:sz w:val="24"/>
              </w:rPr>
            </w:pPr>
            <w:r>
              <w:rPr>
                <w:rFonts w:eastAsia="楷体_GB2312"/>
                <w:b/>
                <w:bCs/>
                <w:sz w:val="24"/>
              </w:rPr>
              <w:t>▲</w:t>
            </w:r>
            <w:r>
              <w:rPr>
                <w:rFonts w:eastAsia="楷体_GB2312"/>
                <w:sz w:val="24"/>
              </w:rPr>
              <w:t>必需</w:t>
            </w:r>
          </w:p>
        </w:tc>
        <w:tc>
          <w:tcPr>
            <w:tcW w:w="773" w:type="pct"/>
          </w:tcPr>
          <w:p>
            <w:pPr>
              <w:snapToGrid w:val="0"/>
              <w:spacing w:line="276" w:lineRule="auto"/>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87" w:hRule="exact"/>
          <w:jc w:val="center"/>
        </w:trPr>
        <w:tc>
          <w:tcPr>
            <w:tcW w:w="396" w:type="pct"/>
            <w:vAlign w:val="center"/>
          </w:tcPr>
          <w:p>
            <w:pPr>
              <w:snapToGrid w:val="0"/>
              <w:spacing w:line="276" w:lineRule="auto"/>
              <w:jc w:val="center"/>
              <w:rPr>
                <w:rFonts w:eastAsia="楷体_GB2312"/>
                <w:sz w:val="24"/>
              </w:rPr>
            </w:pPr>
            <w:r>
              <w:rPr>
                <w:rFonts w:eastAsia="楷体_GB2312"/>
                <w:sz w:val="24"/>
              </w:rPr>
              <w:t>4.3</w:t>
            </w:r>
          </w:p>
        </w:tc>
        <w:tc>
          <w:tcPr>
            <w:tcW w:w="3039" w:type="pct"/>
            <w:vAlign w:val="center"/>
          </w:tcPr>
          <w:p>
            <w:pPr>
              <w:rPr>
                <w:rFonts w:eastAsia="楷体_GB2312"/>
                <w:sz w:val="24"/>
              </w:rPr>
            </w:pPr>
            <w:r>
              <w:rPr>
                <w:rFonts w:eastAsia="楷体_GB2312"/>
                <w:sz w:val="24"/>
              </w:rPr>
              <w:t>元器件要求：</w:t>
            </w:r>
          </w:p>
          <w:p>
            <w:pPr>
              <w:rPr>
                <w:rFonts w:eastAsia="楷体_GB2312"/>
                <w:sz w:val="24"/>
              </w:rPr>
            </w:pPr>
            <w:r>
              <w:rPr>
                <w:rFonts w:hint="eastAsia" w:eastAsia="楷体_GB2312"/>
                <w:sz w:val="24"/>
              </w:rPr>
              <w:t>1.</w:t>
            </w:r>
            <w:r>
              <w:rPr>
                <w:rFonts w:eastAsia="楷体_GB2312"/>
                <w:sz w:val="24"/>
              </w:rPr>
              <w:t>空气开关、接触器、继电器选择西门子、施耐德、ABB或同等知名品牌；</w:t>
            </w:r>
          </w:p>
          <w:p>
            <w:pPr>
              <w:rPr>
                <w:rFonts w:eastAsia="楷体_GB2312"/>
                <w:sz w:val="24"/>
              </w:rPr>
            </w:pPr>
            <w:r>
              <w:rPr>
                <w:rFonts w:hint="eastAsia" w:eastAsia="楷体_GB2312"/>
                <w:sz w:val="24"/>
              </w:rPr>
              <w:t>2.</w:t>
            </w:r>
            <w:r>
              <w:rPr>
                <w:rFonts w:eastAsia="楷体_GB2312"/>
                <w:sz w:val="24"/>
              </w:rPr>
              <w:t>气缸、气动元件选择SMC、FESTO、亚德客或同等知名品牌；</w:t>
            </w:r>
          </w:p>
          <w:p>
            <w:pPr>
              <w:rPr>
                <w:rFonts w:eastAsia="楷体_GB2312"/>
                <w:sz w:val="24"/>
              </w:rPr>
            </w:pPr>
            <w:r>
              <w:rPr>
                <w:rFonts w:hint="eastAsia" w:eastAsia="楷体_GB2312"/>
                <w:sz w:val="24"/>
              </w:rPr>
              <w:t>3.</w:t>
            </w:r>
            <w:r>
              <w:rPr>
                <w:rFonts w:eastAsia="楷体_GB2312"/>
                <w:sz w:val="24"/>
              </w:rPr>
              <w:t>光电传感器选用Sick、Omron、松下等进口或同等知名品牌。</w:t>
            </w:r>
          </w:p>
        </w:tc>
        <w:tc>
          <w:tcPr>
            <w:tcW w:w="792" w:type="pct"/>
            <w:vAlign w:val="center"/>
          </w:tcPr>
          <w:p>
            <w:pPr>
              <w:snapToGrid w:val="0"/>
              <w:spacing w:line="276" w:lineRule="auto"/>
              <w:jc w:val="center"/>
              <w:rPr>
                <w:rFonts w:eastAsia="楷体_GB2312"/>
                <w:sz w:val="24"/>
              </w:rPr>
            </w:pPr>
            <w:r>
              <w:rPr>
                <w:rFonts w:eastAsia="楷体_GB2312"/>
                <w:b/>
                <w:bCs/>
                <w:sz w:val="24"/>
              </w:rPr>
              <w:t>▲</w:t>
            </w:r>
            <w:r>
              <w:rPr>
                <w:rFonts w:eastAsia="楷体_GB2312"/>
                <w:sz w:val="24"/>
              </w:rPr>
              <w:t>必需</w:t>
            </w:r>
          </w:p>
        </w:tc>
        <w:tc>
          <w:tcPr>
            <w:tcW w:w="773" w:type="pct"/>
          </w:tcPr>
          <w:p>
            <w:pPr>
              <w:snapToGrid w:val="0"/>
              <w:spacing w:line="276" w:lineRule="auto"/>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3" w:hRule="exact"/>
          <w:jc w:val="center"/>
        </w:trPr>
        <w:tc>
          <w:tcPr>
            <w:tcW w:w="396" w:type="pct"/>
            <w:vAlign w:val="center"/>
          </w:tcPr>
          <w:p>
            <w:pPr>
              <w:snapToGrid w:val="0"/>
              <w:spacing w:line="276" w:lineRule="auto"/>
              <w:jc w:val="center"/>
              <w:rPr>
                <w:rFonts w:eastAsia="楷体_GB2312"/>
                <w:sz w:val="24"/>
              </w:rPr>
            </w:pPr>
            <w:r>
              <w:rPr>
                <w:rFonts w:eastAsia="楷体_GB2312"/>
                <w:sz w:val="24"/>
              </w:rPr>
              <w:t>4.4</w:t>
            </w:r>
          </w:p>
        </w:tc>
        <w:tc>
          <w:tcPr>
            <w:tcW w:w="3039" w:type="pct"/>
            <w:vAlign w:val="center"/>
          </w:tcPr>
          <w:p>
            <w:pPr>
              <w:snapToGrid w:val="0"/>
              <w:spacing w:line="276" w:lineRule="auto"/>
              <w:rPr>
                <w:rFonts w:eastAsia="楷体_GB2312"/>
                <w:sz w:val="24"/>
              </w:rPr>
            </w:pPr>
            <w:r>
              <w:rPr>
                <w:rFonts w:eastAsia="楷体_GB2312"/>
                <w:sz w:val="24"/>
              </w:rPr>
              <w:t>应提供PLC程序及触摸屏参数相应控制程序的备份文件</w:t>
            </w:r>
            <w:r>
              <w:rPr>
                <w:rFonts w:hint="eastAsia" w:eastAsia="楷体_GB2312"/>
                <w:sz w:val="24"/>
                <w:lang w:eastAsia="zh-CN"/>
              </w:rPr>
              <w:t>，</w:t>
            </w:r>
            <w:r>
              <w:rPr>
                <w:rFonts w:eastAsia="楷体_GB2312"/>
                <w:sz w:val="24"/>
              </w:rPr>
              <w:t>数据储存时间</w:t>
            </w:r>
            <w:r>
              <w:rPr>
                <w:rFonts w:eastAsia="楷体_GB2312"/>
                <w:sz w:val="24"/>
                <w:lang w:val="es-ES"/>
              </w:rPr>
              <w:t>≥90天</w:t>
            </w:r>
            <w:r>
              <w:rPr>
                <w:rFonts w:hint="eastAsia" w:eastAsia="楷体_GB2312"/>
                <w:sz w:val="24"/>
                <w:lang w:val="es-ES"/>
              </w:rPr>
              <w:t>。</w:t>
            </w:r>
          </w:p>
        </w:tc>
        <w:tc>
          <w:tcPr>
            <w:tcW w:w="792" w:type="pct"/>
            <w:vAlign w:val="center"/>
          </w:tcPr>
          <w:p>
            <w:pPr>
              <w:snapToGrid w:val="0"/>
              <w:spacing w:line="276" w:lineRule="auto"/>
              <w:jc w:val="center"/>
              <w:rPr>
                <w:rFonts w:eastAsia="楷体_GB2312"/>
                <w:sz w:val="24"/>
              </w:rPr>
            </w:pPr>
            <w:r>
              <w:rPr>
                <w:rFonts w:eastAsia="楷体_GB2312"/>
                <w:b/>
                <w:bCs/>
                <w:sz w:val="24"/>
              </w:rPr>
              <w:t>▲</w:t>
            </w:r>
            <w:r>
              <w:rPr>
                <w:rFonts w:eastAsia="楷体_GB2312"/>
                <w:sz w:val="24"/>
              </w:rPr>
              <w:t>必需</w:t>
            </w:r>
          </w:p>
        </w:tc>
        <w:tc>
          <w:tcPr>
            <w:tcW w:w="773" w:type="pct"/>
          </w:tcPr>
          <w:p>
            <w:pPr>
              <w:snapToGrid w:val="0"/>
              <w:spacing w:line="276" w:lineRule="auto"/>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1" w:hRule="exact"/>
          <w:jc w:val="center"/>
        </w:trPr>
        <w:tc>
          <w:tcPr>
            <w:tcW w:w="396" w:type="pct"/>
            <w:vAlign w:val="center"/>
          </w:tcPr>
          <w:p>
            <w:pPr>
              <w:snapToGrid w:val="0"/>
              <w:spacing w:line="276" w:lineRule="auto"/>
              <w:jc w:val="center"/>
              <w:rPr>
                <w:rFonts w:eastAsia="楷体_GB2312"/>
                <w:sz w:val="24"/>
              </w:rPr>
            </w:pPr>
            <w:r>
              <w:rPr>
                <w:rFonts w:eastAsia="楷体_GB2312"/>
                <w:sz w:val="24"/>
              </w:rPr>
              <w:t>4.5</w:t>
            </w:r>
          </w:p>
        </w:tc>
        <w:tc>
          <w:tcPr>
            <w:tcW w:w="3039" w:type="pct"/>
            <w:vAlign w:val="center"/>
          </w:tcPr>
          <w:p>
            <w:pPr>
              <w:snapToGrid w:val="0"/>
              <w:spacing w:line="276" w:lineRule="auto"/>
              <w:rPr>
                <w:rFonts w:eastAsia="楷体_GB2312"/>
                <w:sz w:val="24"/>
              </w:rPr>
            </w:pPr>
            <w:r>
              <w:rPr>
                <w:rFonts w:eastAsia="楷体_GB2312"/>
                <w:sz w:val="24"/>
              </w:rPr>
              <w:t>设备参数设置、修改实现密码管理，不得设置设备自锁密码。</w:t>
            </w:r>
          </w:p>
        </w:tc>
        <w:tc>
          <w:tcPr>
            <w:tcW w:w="792" w:type="pct"/>
            <w:vAlign w:val="center"/>
          </w:tcPr>
          <w:p>
            <w:pPr>
              <w:snapToGrid w:val="0"/>
              <w:spacing w:line="276" w:lineRule="auto"/>
              <w:jc w:val="center"/>
              <w:rPr>
                <w:rFonts w:eastAsia="楷体_GB2312"/>
                <w:sz w:val="24"/>
              </w:rPr>
            </w:pPr>
            <w:r>
              <w:rPr>
                <w:rFonts w:eastAsia="楷体_GB2312"/>
                <w:sz w:val="24"/>
              </w:rPr>
              <w:t>必需</w:t>
            </w:r>
          </w:p>
        </w:tc>
        <w:tc>
          <w:tcPr>
            <w:tcW w:w="773" w:type="pct"/>
          </w:tcPr>
          <w:p>
            <w:pPr>
              <w:snapToGrid w:val="0"/>
              <w:spacing w:line="276" w:lineRule="auto"/>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2" w:hRule="exact"/>
          <w:jc w:val="center"/>
        </w:trPr>
        <w:tc>
          <w:tcPr>
            <w:tcW w:w="396" w:type="pct"/>
            <w:vAlign w:val="center"/>
          </w:tcPr>
          <w:p>
            <w:pPr>
              <w:snapToGrid w:val="0"/>
              <w:spacing w:line="276" w:lineRule="auto"/>
              <w:jc w:val="center"/>
              <w:rPr>
                <w:rFonts w:eastAsia="楷体_GB2312"/>
                <w:sz w:val="24"/>
              </w:rPr>
            </w:pPr>
            <w:r>
              <w:rPr>
                <w:rFonts w:eastAsia="楷体_GB2312"/>
                <w:sz w:val="24"/>
              </w:rPr>
              <w:t>4.6</w:t>
            </w:r>
          </w:p>
        </w:tc>
        <w:tc>
          <w:tcPr>
            <w:tcW w:w="3039" w:type="pct"/>
            <w:vAlign w:val="center"/>
          </w:tcPr>
          <w:p>
            <w:pPr>
              <w:snapToGrid w:val="0"/>
              <w:spacing w:line="276" w:lineRule="auto"/>
              <w:rPr>
                <w:rFonts w:eastAsia="楷体_GB2312"/>
                <w:sz w:val="24"/>
              </w:rPr>
            </w:pPr>
            <w:r>
              <w:rPr>
                <w:rFonts w:eastAsia="楷体_GB2312"/>
                <w:sz w:val="24"/>
              </w:rPr>
              <w:t>设备运行出现故障报警时，能在人机界面显示故障原因及部位</w:t>
            </w:r>
            <w:r>
              <w:rPr>
                <w:rFonts w:hint="eastAsia" w:eastAsia="楷体_GB2312"/>
                <w:sz w:val="24"/>
              </w:rPr>
              <w:t>。</w:t>
            </w:r>
          </w:p>
        </w:tc>
        <w:tc>
          <w:tcPr>
            <w:tcW w:w="792" w:type="pct"/>
            <w:vAlign w:val="center"/>
          </w:tcPr>
          <w:p>
            <w:pPr>
              <w:snapToGrid w:val="0"/>
              <w:spacing w:line="276" w:lineRule="auto"/>
              <w:jc w:val="center"/>
              <w:rPr>
                <w:rFonts w:eastAsia="楷体_GB2312"/>
                <w:sz w:val="24"/>
              </w:rPr>
            </w:pPr>
            <w:r>
              <w:rPr>
                <w:rFonts w:eastAsia="楷体_GB2312"/>
                <w:sz w:val="24"/>
              </w:rPr>
              <w:t>必需</w:t>
            </w:r>
          </w:p>
        </w:tc>
        <w:tc>
          <w:tcPr>
            <w:tcW w:w="773" w:type="pct"/>
          </w:tcPr>
          <w:p>
            <w:pPr>
              <w:snapToGrid w:val="0"/>
              <w:spacing w:line="276" w:lineRule="auto"/>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8" w:hRule="exact"/>
          <w:jc w:val="center"/>
        </w:trPr>
        <w:tc>
          <w:tcPr>
            <w:tcW w:w="396" w:type="pct"/>
            <w:vAlign w:val="center"/>
          </w:tcPr>
          <w:p>
            <w:pPr>
              <w:snapToGrid w:val="0"/>
              <w:spacing w:line="276" w:lineRule="auto"/>
              <w:jc w:val="center"/>
              <w:rPr>
                <w:rFonts w:eastAsia="楷体_GB2312"/>
                <w:sz w:val="24"/>
              </w:rPr>
            </w:pPr>
            <w:r>
              <w:rPr>
                <w:rFonts w:eastAsia="楷体_GB2312"/>
                <w:sz w:val="24"/>
              </w:rPr>
              <w:t>4.7</w:t>
            </w:r>
          </w:p>
        </w:tc>
        <w:tc>
          <w:tcPr>
            <w:tcW w:w="3039" w:type="pct"/>
            <w:vAlign w:val="center"/>
          </w:tcPr>
          <w:p>
            <w:pPr>
              <w:snapToGrid w:val="0"/>
              <w:spacing w:line="276" w:lineRule="auto"/>
              <w:rPr>
                <w:rFonts w:eastAsia="楷体_GB2312"/>
                <w:sz w:val="24"/>
              </w:rPr>
            </w:pPr>
            <w:r>
              <w:rPr>
                <w:rFonts w:eastAsia="楷体_GB2312"/>
                <w:sz w:val="24"/>
              </w:rPr>
              <w:t>控制柜内部线路应走线槽，所有电缆两端需有标号，必须布置合理、美观。</w:t>
            </w:r>
          </w:p>
        </w:tc>
        <w:tc>
          <w:tcPr>
            <w:tcW w:w="792" w:type="pct"/>
            <w:vAlign w:val="center"/>
          </w:tcPr>
          <w:p>
            <w:pPr>
              <w:snapToGrid w:val="0"/>
              <w:spacing w:line="276" w:lineRule="auto"/>
              <w:jc w:val="center"/>
              <w:rPr>
                <w:rFonts w:eastAsia="楷体_GB2312"/>
                <w:sz w:val="24"/>
              </w:rPr>
            </w:pPr>
            <w:r>
              <w:rPr>
                <w:rFonts w:eastAsia="楷体_GB2312"/>
                <w:sz w:val="24"/>
              </w:rPr>
              <w:t>必需</w:t>
            </w:r>
          </w:p>
        </w:tc>
        <w:tc>
          <w:tcPr>
            <w:tcW w:w="773" w:type="pct"/>
          </w:tcPr>
          <w:p>
            <w:pPr>
              <w:snapToGrid w:val="0"/>
              <w:spacing w:line="276" w:lineRule="auto"/>
              <w:jc w:val="center"/>
              <w:rPr>
                <w:rFonts w:eastAsia="楷体_GB2312"/>
                <w:sz w:val="24"/>
              </w:rPr>
            </w:pPr>
          </w:p>
        </w:tc>
      </w:tr>
    </w:tbl>
    <w:p>
      <w:pPr>
        <w:snapToGrid w:val="0"/>
        <w:spacing w:line="560" w:lineRule="exact"/>
        <w:ind w:firstLine="643" w:firstLineChars="200"/>
        <w:outlineLvl w:val="0"/>
        <w:rPr>
          <w:rFonts w:eastAsia="仿宋_GB2312"/>
          <w:b/>
          <w:sz w:val="32"/>
          <w:szCs w:val="32"/>
        </w:rPr>
      </w:pPr>
      <w:bookmarkStart w:id="24" w:name="_Toc522719327"/>
      <w:bookmarkStart w:id="25" w:name="_Toc513628070"/>
      <w:r>
        <w:rPr>
          <w:rFonts w:hint="eastAsia" w:eastAsia="仿宋_GB2312"/>
          <w:b/>
          <w:sz w:val="32"/>
          <w:szCs w:val="32"/>
        </w:rPr>
        <w:t>5.</w:t>
      </w:r>
      <w:r>
        <w:rPr>
          <w:rFonts w:eastAsia="仿宋_GB2312"/>
          <w:b/>
          <w:sz w:val="32"/>
          <w:szCs w:val="32"/>
        </w:rPr>
        <w:t>安装要求</w:t>
      </w:r>
      <w:bookmarkEnd w:id="24"/>
      <w:bookmarkEnd w:id="25"/>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5499"/>
        <w:gridCol w:w="1433"/>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exact"/>
          <w:jc w:val="center"/>
        </w:trPr>
        <w:tc>
          <w:tcPr>
            <w:tcW w:w="401" w:type="pct"/>
            <w:vAlign w:val="center"/>
          </w:tcPr>
          <w:p>
            <w:pPr>
              <w:snapToGrid w:val="0"/>
              <w:jc w:val="center"/>
              <w:rPr>
                <w:rFonts w:eastAsia="楷体_GB2312"/>
                <w:sz w:val="24"/>
              </w:rPr>
            </w:pPr>
            <w:r>
              <w:rPr>
                <w:rFonts w:eastAsia="楷体_GB2312"/>
                <w:sz w:val="24"/>
              </w:rPr>
              <w:t>序号</w:t>
            </w:r>
          </w:p>
        </w:tc>
        <w:tc>
          <w:tcPr>
            <w:tcW w:w="3035" w:type="pct"/>
            <w:vAlign w:val="center"/>
          </w:tcPr>
          <w:p>
            <w:pPr>
              <w:snapToGrid w:val="0"/>
              <w:jc w:val="center"/>
              <w:rPr>
                <w:rFonts w:eastAsia="楷体_GB2312"/>
                <w:sz w:val="24"/>
              </w:rPr>
            </w:pPr>
            <w:r>
              <w:rPr>
                <w:rFonts w:eastAsia="楷体_GB2312"/>
                <w:sz w:val="24"/>
              </w:rPr>
              <w:t>需求内容</w:t>
            </w:r>
          </w:p>
        </w:tc>
        <w:tc>
          <w:tcPr>
            <w:tcW w:w="791" w:type="pct"/>
            <w:vAlign w:val="center"/>
          </w:tcPr>
          <w:p>
            <w:pPr>
              <w:snapToGrid w:val="0"/>
              <w:jc w:val="center"/>
              <w:rPr>
                <w:rFonts w:eastAsia="楷体_GB2312"/>
                <w:sz w:val="24"/>
              </w:rPr>
            </w:pPr>
            <w:r>
              <w:rPr>
                <w:rFonts w:eastAsia="楷体_GB2312"/>
                <w:sz w:val="24"/>
              </w:rPr>
              <w:t>必需或期望</w:t>
            </w:r>
          </w:p>
        </w:tc>
        <w:tc>
          <w:tcPr>
            <w:tcW w:w="773" w:type="pct"/>
            <w:vAlign w:val="center"/>
          </w:tcPr>
          <w:p>
            <w:pPr>
              <w:snapToGrid w:val="0"/>
              <w:jc w:val="center"/>
              <w:rPr>
                <w:rFonts w:eastAsia="楷体_GB2312"/>
                <w:sz w:val="24"/>
              </w:rPr>
            </w:pPr>
            <w:r>
              <w:rPr>
                <w:rFonts w:eastAsia="楷体_GB2312"/>
                <w:sz w:val="24"/>
              </w:rPr>
              <w:t>供方响应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5" w:hRule="exact"/>
          <w:jc w:val="center"/>
        </w:trPr>
        <w:tc>
          <w:tcPr>
            <w:tcW w:w="401" w:type="pct"/>
            <w:vAlign w:val="center"/>
          </w:tcPr>
          <w:p>
            <w:pPr>
              <w:snapToGrid w:val="0"/>
              <w:jc w:val="center"/>
              <w:rPr>
                <w:rFonts w:eastAsia="楷体_GB2312"/>
                <w:sz w:val="24"/>
              </w:rPr>
            </w:pPr>
            <w:r>
              <w:rPr>
                <w:rFonts w:eastAsia="楷体_GB2312"/>
                <w:sz w:val="24"/>
              </w:rPr>
              <w:t>5.1</w:t>
            </w:r>
          </w:p>
        </w:tc>
        <w:tc>
          <w:tcPr>
            <w:tcW w:w="3035" w:type="pct"/>
            <w:vAlign w:val="center"/>
          </w:tcPr>
          <w:p>
            <w:pPr>
              <w:tabs>
                <w:tab w:val="left" w:pos="360"/>
                <w:tab w:val="left" w:pos="443"/>
              </w:tabs>
              <w:snapToGrid w:val="0"/>
              <w:rPr>
                <w:rFonts w:eastAsia="楷体_GB2312"/>
                <w:sz w:val="24"/>
              </w:rPr>
            </w:pPr>
            <w:r>
              <w:rPr>
                <w:rFonts w:eastAsia="楷体_GB2312"/>
                <w:sz w:val="24"/>
              </w:rPr>
              <w:t>设备进场安装时厂家必需有项目工程师在场协调工作。</w:t>
            </w:r>
          </w:p>
        </w:tc>
        <w:tc>
          <w:tcPr>
            <w:tcW w:w="791" w:type="pct"/>
            <w:vAlign w:val="center"/>
          </w:tcPr>
          <w:p>
            <w:pPr>
              <w:tabs>
                <w:tab w:val="left" w:pos="360"/>
                <w:tab w:val="left" w:pos="443"/>
              </w:tabs>
              <w:snapToGrid w:val="0"/>
              <w:jc w:val="center"/>
              <w:rPr>
                <w:rFonts w:eastAsia="楷体_GB2312"/>
                <w:sz w:val="24"/>
              </w:rPr>
            </w:pPr>
            <w:r>
              <w:rPr>
                <w:rFonts w:eastAsia="楷体_GB2312"/>
                <w:sz w:val="24"/>
              </w:rPr>
              <w:t>必需</w:t>
            </w:r>
          </w:p>
        </w:tc>
        <w:tc>
          <w:tcPr>
            <w:tcW w:w="773" w:type="pct"/>
          </w:tcPr>
          <w:p>
            <w:pPr>
              <w:tabs>
                <w:tab w:val="left" w:pos="360"/>
                <w:tab w:val="left" w:pos="443"/>
              </w:tabs>
              <w:snapToGrid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3" w:hRule="exact"/>
          <w:jc w:val="center"/>
        </w:trPr>
        <w:tc>
          <w:tcPr>
            <w:tcW w:w="401" w:type="pct"/>
            <w:vAlign w:val="center"/>
          </w:tcPr>
          <w:p>
            <w:pPr>
              <w:snapToGrid w:val="0"/>
              <w:jc w:val="center"/>
              <w:rPr>
                <w:rFonts w:eastAsia="楷体_GB2312"/>
                <w:sz w:val="24"/>
              </w:rPr>
            </w:pPr>
            <w:r>
              <w:rPr>
                <w:rFonts w:eastAsia="楷体_GB2312"/>
                <w:sz w:val="24"/>
              </w:rPr>
              <w:t>5.2</w:t>
            </w:r>
          </w:p>
        </w:tc>
        <w:tc>
          <w:tcPr>
            <w:tcW w:w="3035" w:type="pct"/>
            <w:vAlign w:val="center"/>
          </w:tcPr>
          <w:p>
            <w:pPr>
              <w:tabs>
                <w:tab w:val="left" w:pos="360"/>
                <w:tab w:val="left" w:pos="443"/>
              </w:tabs>
              <w:snapToGrid w:val="0"/>
              <w:rPr>
                <w:rFonts w:eastAsia="楷体_GB2312"/>
                <w:sz w:val="24"/>
              </w:rPr>
            </w:pPr>
            <w:r>
              <w:rPr>
                <w:rFonts w:eastAsia="楷体_GB2312"/>
                <w:sz w:val="24"/>
              </w:rPr>
              <w:t>按照协定的标准和规范列出验收和检测项目进行现场验收。</w:t>
            </w:r>
          </w:p>
        </w:tc>
        <w:tc>
          <w:tcPr>
            <w:tcW w:w="791" w:type="pct"/>
            <w:vAlign w:val="center"/>
          </w:tcPr>
          <w:p>
            <w:pPr>
              <w:tabs>
                <w:tab w:val="left" w:pos="360"/>
                <w:tab w:val="left" w:pos="443"/>
              </w:tabs>
              <w:snapToGrid w:val="0"/>
              <w:jc w:val="center"/>
              <w:rPr>
                <w:rFonts w:eastAsia="楷体_GB2312"/>
                <w:sz w:val="24"/>
              </w:rPr>
            </w:pPr>
            <w:r>
              <w:rPr>
                <w:rFonts w:eastAsia="楷体_GB2312"/>
                <w:sz w:val="24"/>
              </w:rPr>
              <w:t>必需</w:t>
            </w:r>
          </w:p>
        </w:tc>
        <w:tc>
          <w:tcPr>
            <w:tcW w:w="773" w:type="pct"/>
          </w:tcPr>
          <w:p>
            <w:pPr>
              <w:tabs>
                <w:tab w:val="left" w:pos="360"/>
                <w:tab w:val="left" w:pos="443"/>
              </w:tabs>
              <w:snapToGrid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2" w:hRule="exact"/>
          <w:jc w:val="center"/>
        </w:trPr>
        <w:tc>
          <w:tcPr>
            <w:tcW w:w="401" w:type="pct"/>
            <w:vAlign w:val="center"/>
          </w:tcPr>
          <w:p>
            <w:pPr>
              <w:snapToGrid w:val="0"/>
              <w:jc w:val="center"/>
              <w:rPr>
                <w:rFonts w:eastAsia="楷体_GB2312"/>
                <w:sz w:val="24"/>
              </w:rPr>
            </w:pPr>
            <w:r>
              <w:rPr>
                <w:rFonts w:eastAsia="楷体_GB2312"/>
                <w:sz w:val="24"/>
              </w:rPr>
              <w:t>5.3</w:t>
            </w:r>
          </w:p>
        </w:tc>
        <w:tc>
          <w:tcPr>
            <w:tcW w:w="3035" w:type="pct"/>
            <w:vAlign w:val="center"/>
          </w:tcPr>
          <w:p>
            <w:pPr>
              <w:tabs>
                <w:tab w:val="left" w:pos="360"/>
                <w:tab w:val="left" w:pos="443"/>
              </w:tabs>
              <w:snapToGrid w:val="0"/>
              <w:rPr>
                <w:rFonts w:eastAsia="楷体_GB2312"/>
                <w:sz w:val="24"/>
              </w:rPr>
            </w:pPr>
            <w:r>
              <w:rPr>
                <w:rFonts w:eastAsia="楷体_GB2312"/>
                <w:sz w:val="24"/>
              </w:rPr>
              <w:t>如果调试结果不合格，乙方要采取措施并在甲方要求的时间内尽快调试合格，因延后使甲方造成的任何直接和间接损失由乙方承担。</w:t>
            </w:r>
          </w:p>
        </w:tc>
        <w:tc>
          <w:tcPr>
            <w:tcW w:w="791" w:type="pct"/>
            <w:vAlign w:val="center"/>
          </w:tcPr>
          <w:p>
            <w:pPr>
              <w:tabs>
                <w:tab w:val="left" w:pos="360"/>
                <w:tab w:val="left" w:pos="443"/>
              </w:tabs>
              <w:snapToGrid w:val="0"/>
              <w:jc w:val="center"/>
              <w:rPr>
                <w:rFonts w:eastAsia="楷体_GB2312"/>
                <w:sz w:val="24"/>
              </w:rPr>
            </w:pPr>
            <w:r>
              <w:rPr>
                <w:rFonts w:eastAsia="楷体_GB2312"/>
                <w:sz w:val="24"/>
              </w:rPr>
              <w:t>必需</w:t>
            </w:r>
          </w:p>
        </w:tc>
        <w:tc>
          <w:tcPr>
            <w:tcW w:w="773" w:type="pct"/>
          </w:tcPr>
          <w:p>
            <w:pPr>
              <w:tabs>
                <w:tab w:val="left" w:pos="360"/>
                <w:tab w:val="left" w:pos="443"/>
              </w:tabs>
              <w:snapToGrid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9" w:hRule="exact"/>
          <w:jc w:val="center"/>
        </w:trPr>
        <w:tc>
          <w:tcPr>
            <w:tcW w:w="401" w:type="pct"/>
            <w:vAlign w:val="center"/>
          </w:tcPr>
          <w:p>
            <w:pPr>
              <w:snapToGrid w:val="0"/>
              <w:jc w:val="center"/>
              <w:rPr>
                <w:rFonts w:eastAsia="楷体_GB2312"/>
                <w:sz w:val="24"/>
              </w:rPr>
            </w:pPr>
            <w:r>
              <w:rPr>
                <w:rFonts w:eastAsia="楷体_GB2312"/>
                <w:sz w:val="24"/>
              </w:rPr>
              <w:t>5.4</w:t>
            </w:r>
          </w:p>
        </w:tc>
        <w:tc>
          <w:tcPr>
            <w:tcW w:w="3035" w:type="pct"/>
            <w:vAlign w:val="center"/>
          </w:tcPr>
          <w:p>
            <w:pPr>
              <w:tabs>
                <w:tab w:val="left" w:pos="360"/>
                <w:tab w:val="left" w:pos="443"/>
              </w:tabs>
              <w:snapToGrid w:val="0"/>
              <w:rPr>
                <w:rFonts w:eastAsia="楷体_GB2312"/>
                <w:sz w:val="24"/>
              </w:rPr>
            </w:pPr>
            <w:r>
              <w:rPr>
                <w:rFonts w:eastAsia="楷体_GB2312"/>
                <w:sz w:val="24"/>
              </w:rPr>
              <w:t>随机提供一套设备调整专用工具。</w:t>
            </w:r>
          </w:p>
        </w:tc>
        <w:tc>
          <w:tcPr>
            <w:tcW w:w="791" w:type="pct"/>
            <w:vAlign w:val="center"/>
          </w:tcPr>
          <w:p>
            <w:pPr>
              <w:tabs>
                <w:tab w:val="left" w:pos="360"/>
                <w:tab w:val="left" w:pos="443"/>
              </w:tabs>
              <w:snapToGrid w:val="0"/>
              <w:jc w:val="center"/>
              <w:rPr>
                <w:rFonts w:eastAsia="楷体_GB2312"/>
                <w:sz w:val="24"/>
              </w:rPr>
            </w:pPr>
            <w:r>
              <w:rPr>
                <w:rFonts w:eastAsia="楷体_GB2312"/>
                <w:sz w:val="24"/>
              </w:rPr>
              <w:t>必需</w:t>
            </w:r>
          </w:p>
        </w:tc>
        <w:tc>
          <w:tcPr>
            <w:tcW w:w="773" w:type="pct"/>
          </w:tcPr>
          <w:p>
            <w:pPr>
              <w:tabs>
                <w:tab w:val="left" w:pos="360"/>
                <w:tab w:val="left" w:pos="443"/>
              </w:tabs>
              <w:snapToGrid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7" w:hRule="exact"/>
          <w:jc w:val="center"/>
        </w:trPr>
        <w:tc>
          <w:tcPr>
            <w:tcW w:w="401" w:type="pct"/>
            <w:vAlign w:val="center"/>
          </w:tcPr>
          <w:p>
            <w:pPr>
              <w:snapToGrid w:val="0"/>
              <w:jc w:val="center"/>
              <w:rPr>
                <w:rFonts w:eastAsia="楷体_GB2312"/>
                <w:sz w:val="24"/>
              </w:rPr>
            </w:pPr>
            <w:r>
              <w:rPr>
                <w:rFonts w:eastAsia="楷体_GB2312"/>
                <w:sz w:val="24"/>
              </w:rPr>
              <w:t>5.5</w:t>
            </w:r>
          </w:p>
        </w:tc>
        <w:tc>
          <w:tcPr>
            <w:tcW w:w="3035" w:type="pct"/>
            <w:vAlign w:val="center"/>
          </w:tcPr>
          <w:p>
            <w:pPr>
              <w:tabs>
                <w:tab w:val="left" w:pos="360"/>
                <w:tab w:val="left" w:pos="443"/>
              </w:tabs>
              <w:snapToGrid w:val="0"/>
              <w:rPr>
                <w:rFonts w:eastAsia="楷体_GB2312"/>
                <w:sz w:val="24"/>
              </w:rPr>
            </w:pPr>
            <w:r>
              <w:rPr>
                <w:rFonts w:eastAsia="楷体_GB2312"/>
                <w:sz w:val="24"/>
              </w:rPr>
              <w:t>要求设备到货15日内安装调试达到正常自动运行的效果。</w:t>
            </w:r>
          </w:p>
        </w:tc>
        <w:tc>
          <w:tcPr>
            <w:tcW w:w="791" w:type="pct"/>
            <w:vAlign w:val="center"/>
          </w:tcPr>
          <w:p>
            <w:pPr>
              <w:tabs>
                <w:tab w:val="left" w:pos="360"/>
                <w:tab w:val="left" w:pos="443"/>
              </w:tabs>
              <w:snapToGrid w:val="0"/>
              <w:jc w:val="center"/>
              <w:rPr>
                <w:rFonts w:eastAsia="楷体_GB2312"/>
                <w:sz w:val="24"/>
              </w:rPr>
            </w:pPr>
            <w:r>
              <w:rPr>
                <w:rFonts w:eastAsia="楷体_GB2312"/>
                <w:b/>
                <w:bCs/>
                <w:sz w:val="24"/>
              </w:rPr>
              <w:t>▲</w:t>
            </w:r>
            <w:r>
              <w:rPr>
                <w:rFonts w:eastAsia="楷体_GB2312"/>
                <w:sz w:val="24"/>
              </w:rPr>
              <w:t>必需</w:t>
            </w:r>
          </w:p>
        </w:tc>
        <w:tc>
          <w:tcPr>
            <w:tcW w:w="773" w:type="pct"/>
          </w:tcPr>
          <w:p>
            <w:pPr>
              <w:tabs>
                <w:tab w:val="left" w:pos="360"/>
                <w:tab w:val="left" w:pos="443"/>
              </w:tabs>
              <w:snapToGrid w:val="0"/>
              <w:jc w:val="center"/>
              <w:rPr>
                <w:rFonts w:eastAsia="楷体_GB2312"/>
                <w:sz w:val="24"/>
              </w:rPr>
            </w:pPr>
          </w:p>
        </w:tc>
      </w:tr>
    </w:tbl>
    <w:p>
      <w:pPr>
        <w:spacing w:line="560" w:lineRule="exact"/>
        <w:ind w:firstLine="643" w:firstLineChars="200"/>
        <w:contextualSpacing/>
        <w:outlineLvl w:val="0"/>
        <w:rPr>
          <w:rFonts w:eastAsia="仿宋_GB2312"/>
          <w:b/>
          <w:sz w:val="32"/>
          <w:szCs w:val="32"/>
        </w:rPr>
      </w:pPr>
      <w:bookmarkStart w:id="26" w:name="_Toc513628073"/>
      <w:bookmarkStart w:id="27" w:name="_Toc522719330"/>
      <w:r>
        <w:rPr>
          <w:rFonts w:eastAsia="仿宋_GB2312"/>
          <w:b/>
          <w:sz w:val="32"/>
          <w:szCs w:val="32"/>
        </w:rPr>
        <w:t>6.安全</w:t>
      </w:r>
      <w:bookmarkEnd w:id="26"/>
      <w:r>
        <w:rPr>
          <w:rFonts w:eastAsia="仿宋_GB2312"/>
          <w:b/>
          <w:sz w:val="32"/>
          <w:szCs w:val="32"/>
        </w:rPr>
        <w:t>要求</w:t>
      </w:r>
      <w:bookmarkEnd w:id="27"/>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5496"/>
        <w:gridCol w:w="1433"/>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9" w:hRule="exact"/>
          <w:jc w:val="center"/>
        </w:trPr>
        <w:tc>
          <w:tcPr>
            <w:tcW w:w="403" w:type="pct"/>
            <w:vAlign w:val="center"/>
          </w:tcPr>
          <w:p>
            <w:pPr>
              <w:snapToGrid w:val="0"/>
              <w:jc w:val="center"/>
              <w:rPr>
                <w:rFonts w:eastAsia="仿宋_GB2312"/>
                <w:sz w:val="24"/>
              </w:rPr>
            </w:pPr>
            <w:r>
              <w:rPr>
                <w:rFonts w:eastAsia="仿宋_GB2312"/>
                <w:sz w:val="24"/>
              </w:rPr>
              <w:t>序号</w:t>
            </w:r>
          </w:p>
        </w:tc>
        <w:tc>
          <w:tcPr>
            <w:tcW w:w="3033" w:type="pct"/>
            <w:vAlign w:val="center"/>
          </w:tcPr>
          <w:p>
            <w:pPr>
              <w:snapToGrid w:val="0"/>
              <w:jc w:val="center"/>
              <w:rPr>
                <w:rFonts w:eastAsia="仿宋_GB2312"/>
                <w:sz w:val="24"/>
              </w:rPr>
            </w:pPr>
            <w:r>
              <w:rPr>
                <w:rFonts w:eastAsia="仿宋_GB2312"/>
                <w:sz w:val="24"/>
              </w:rPr>
              <w:t>需求内容</w:t>
            </w:r>
          </w:p>
        </w:tc>
        <w:tc>
          <w:tcPr>
            <w:tcW w:w="791" w:type="pct"/>
            <w:vAlign w:val="center"/>
          </w:tcPr>
          <w:p>
            <w:pPr>
              <w:snapToGrid w:val="0"/>
              <w:jc w:val="center"/>
              <w:rPr>
                <w:rFonts w:eastAsia="仿宋_GB2312"/>
                <w:sz w:val="24"/>
              </w:rPr>
            </w:pPr>
            <w:r>
              <w:rPr>
                <w:rFonts w:eastAsia="仿宋_GB2312"/>
                <w:sz w:val="24"/>
              </w:rPr>
              <w:t>必需或期望</w:t>
            </w:r>
          </w:p>
        </w:tc>
        <w:tc>
          <w:tcPr>
            <w:tcW w:w="773" w:type="pct"/>
            <w:vAlign w:val="center"/>
          </w:tcPr>
          <w:p>
            <w:pPr>
              <w:snapToGrid w:val="0"/>
              <w:jc w:val="center"/>
              <w:rPr>
                <w:rFonts w:eastAsia="仿宋_GB2312"/>
                <w:sz w:val="24"/>
              </w:rPr>
            </w:pPr>
            <w:r>
              <w:rPr>
                <w:rFonts w:eastAsia="仿宋_GB2312"/>
                <w:sz w:val="24"/>
              </w:rPr>
              <w:t>供方响应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1" w:hRule="exact"/>
          <w:jc w:val="center"/>
        </w:trPr>
        <w:tc>
          <w:tcPr>
            <w:tcW w:w="403" w:type="pct"/>
            <w:vAlign w:val="center"/>
          </w:tcPr>
          <w:p>
            <w:pPr>
              <w:snapToGrid w:val="0"/>
              <w:jc w:val="center"/>
              <w:rPr>
                <w:rFonts w:eastAsia="仿宋_GB2312"/>
                <w:sz w:val="24"/>
              </w:rPr>
            </w:pPr>
            <w:r>
              <w:rPr>
                <w:rFonts w:eastAsia="仿宋_GB2312"/>
                <w:sz w:val="24"/>
              </w:rPr>
              <w:t>6.1</w:t>
            </w:r>
          </w:p>
        </w:tc>
        <w:tc>
          <w:tcPr>
            <w:tcW w:w="3033" w:type="pct"/>
            <w:vAlign w:val="center"/>
          </w:tcPr>
          <w:p>
            <w:pPr>
              <w:snapToGrid w:val="0"/>
              <w:rPr>
                <w:rFonts w:eastAsia="仿宋_GB2312"/>
                <w:sz w:val="24"/>
              </w:rPr>
            </w:pPr>
            <w:r>
              <w:rPr>
                <w:rFonts w:eastAsia="仿宋_GB2312"/>
                <w:sz w:val="24"/>
              </w:rPr>
              <w:t>设备至少应有2个急停装置，并且急停开关要设在易于操作的地方。一旦按下紧急停止按钮，相关设备停止所有转动部件，在急停按钮没有恢复之前，设备将无法启动。</w:t>
            </w:r>
          </w:p>
        </w:tc>
        <w:tc>
          <w:tcPr>
            <w:tcW w:w="791" w:type="pct"/>
            <w:vAlign w:val="center"/>
          </w:tcPr>
          <w:p>
            <w:pPr>
              <w:snapToGrid w:val="0"/>
              <w:jc w:val="center"/>
              <w:rPr>
                <w:rFonts w:eastAsia="仿宋_GB2312"/>
                <w:sz w:val="24"/>
              </w:rPr>
            </w:pPr>
            <w:r>
              <w:rPr>
                <w:rFonts w:eastAsia="仿宋_GB2312"/>
                <w:b/>
                <w:bCs/>
                <w:sz w:val="24"/>
              </w:rPr>
              <w:t>▲</w:t>
            </w:r>
            <w:r>
              <w:rPr>
                <w:rFonts w:eastAsia="仿宋_GB2312"/>
                <w:sz w:val="24"/>
              </w:rPr>
              <w:t>必需</w:t>
            </w:r>
          </w:p>
        </w:tc>
        <w:tc>
          <w:tcPr>
            <w:tcW w:w="773" w:type="pct"/>
          </w:tcPr>
          <w:p>
            <w:pPr>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8" w:hRule="exact"/>
          <w:jc w:val="center"/>
        </w:trPr>
        <w:tc>
          <w:tcPr>
            <w:tcW w:w="403" w:type="pct"/>
            <w:vAlign w:val="center"/>
          </w:tcPr>
          <w:p>
            <w:pPr>
              <w:snapToGrid w:val="0"/>
              <w:jc w:val="center"/>
              <w:rPr>
                <w:rFonts w:eastAsia="仿宋_GB2312"/>
                <w:sz w:val="24"/>
              </w:rPr>
            </w:pPr>
            <w:r>
              <w:rPr>
                <w:rFonts w:eastAsia="仿宋_GB2312"/>
                <w:sz w:val="24"/>
              </w:rPr>
              <w:t>6.2</w:t>
            </w:r>
          </w:p>
        </w:tc>
        <w:tc>
          <w:tcPr>
            <w:tcW w:w="3033" w:type="pct"/>
            <w:vAlign w:val="center"/>
          </w:tcPr>
          <w:p>
            <w:pPr>
              <w:snapToGrid w:val="0"/>
              <w:rPr>
                <w:rFonts w:eastAsia="仿宋_GB2312"/>
                <w:sz w:val="24"/>
              </w:rPr>
            </w:pPr>
            <w:r>
              <w:rPr>
                <w:rFonts w:eastAsia="仿宋_GB2312"/>
                <w:sz w:val="24"/>
                <w:lang w:val="es-ES"/>
              </w:rPr>
              <w:t>设备应具备过载保护装置，当机器受到外部卡阻时能</w:t>
            </w:r>
            <w:r>
              <w:rPr>
                <w:rFonts w:eastAsia="仿宋_GB2312"/>
                <w:sz w:val="24"/>
              </w:rPr>
              <w:t>及时</w:t>
            </w:r>
            <w:r>
              <w:rPr>
                <w:rFonts w:eastAsia="仿宋_GB2312"/>
                <w:sz w:val="24"/>
                <w:lang w:val="es-ES"/>
              </w:rPr>
              <w:t>停机保护设备。</w:t>
            </w:r>
          </w:p>
        </w:tc>
        <w:tc>
          <w:tcPr>
            <w:tcW w:w="791" w:type="pct"/>
            <w:vAlign w:val="center"/>
          </w:tcPr>
          <w:p>
            <w:pPr>
              <w:snapToGrid w:val="0"/>
              <w:jc w:val="center"/>
              <w:rPr>
                <w:rFonts w:eastAsia="仿宋_GB2312"/>
                <w:sz w:val="24"/>
              </w:rPr>
            </w:pPr>
            <w:r>
              <w:rPr>
                <w:rFonts w:eastAsia="仿宋_GB2312"/>
                <w:b/>
                <w:bCs/>
                <w:sz w:val="24"/>
              </w:rPr>
              <w:t>▲</w:t>
            </w:r>
            <w:r>
              <w:rPr>
                <w:rFonts w:eastAsia="仿宋_GB2312"/>
                <w:sz w:val="24"/>
              </w:rPr>
              <w:t>必需</w:t>
            </w:r>
          </w:p>
        </w:tc>
        <w:tc>
          <w:tcPr>
            <w:tcW w:w="773" w:type="pct"/>
          </w:tcPr>
          <w:p>
            <w:pPr>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7" w:hRule="exact"/>
          <w:jc w:val="center"/>
        </w:trPr>
        <w:tc>
          <w:tcPr>
            <w:tcW w:w="403" w:type="pct"/>
            <w:vAlign w:val="center"/>
          </w:tcPr>
          <w:p>
            <w:pPr>
              <w:snapToGrid w:val="0"/>
              <w:jc w:val="center"/>
              <w:rPr>
                <w:rFonts w:eastAsia="仿宋_GB2312"/>
                <w:sz w:val="24"/>
              </w:rPr>
            </w:pPr>
            <w:r>
              <w:rPr>
                <w:rFonts w:eastAsia="仿宋_GB2312"/>
                <w:sz w:val="24"/>
              </w:rPr>
              <w:t>6.3</w:t>
            </w:r>
          </w:p>
        </w:tc>
        <w:tc>
          <w:tcPr>
            <w:tcW w:w="3033" w:type="pct"/>
            <w:vAlign w:val="center"/>
          </w:tcPr>
          <w:p>
            <w:pPr>
              <w:snapToGrid w:val="0"/>
              <w:rPr>
                <w:rFonts w:eastAsia="仿宋_GB2312"/>
                <w:sz w:val="24"/>
              </w:rPr>
            </w:pPr>
            <w:r>
              <w:rPr>
                <w:rFonts w:eastAsia="仿宋_GB2312"/>
                <w:sz w:val="24"/>
              </w:rPr>
              <w:t>设备应接地安装，有漏电保护装置，外壳隔音，应有绝缘层。</w:t>
            </w:r>
          </w:p>
        </w:tc>
        <w:tc>
          <w:tcPr>
            <w:tcW w:w="791" w:type="pct"/>
            <w:vAlign w:val="center"/>
          </w:tcPr>
          <w:p>
            <w:pPr>
              <w:snapToGrid w:val="0"/>
              <w:jc w:val="center"/>
              <w:rPr>
                <w:rFonts w:eastAsia="仿宋_GB2312"/>
                <w:sz w:val="24"/>
              </w:rPr>
            </w:pPr>
            <w:r>
              <w:rPr>
                <w:rFonts w:eastAsia="仿宋_GB2312"/>
                <w:sz w:val="24"/>
              </w:rPr>
              <w:t>必需</w:t>
            </w:r>
          </w:p>
        </w:tc>
        <w:tc>
          <w:tcPr>
            <w:tcW w:w="773" w:type="pct"/>
          </w:tcPr>
          <w:p>
            <w:pPr>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8" w:hRule="exact"/>
          <w:jc w:val="center"/>
        </w:trPr>
        <w:tc>
          <w:tcPr>
            <w:tcW w:w="403" w:type="pct"/>
            <w:vAlign w:val="center"/>
          </w:tcPr>
          <w:p>
            <w:pPr>
              <w:snapToGrid w:val="0"/>
              <w:jc w:val="center"/>
              <w:rPr>
                <w:rFonts w:eastAsia="仿宋_GB2312"/>
                <w:sz w:val="24"/>
              </w:rPr>
            </w:pPr>
            <w:r>
              <w:rPr>
                <w:rFonts w:eastAsia="仿宋_GB2312"/>
                <w:sz w:val="24"/>
              </w:rPr>
              <w:t>6.4</w:t>
            </w:r>
          </w:p>
        </w:tc>
        <w:tc>
          <w:tcPr>
            <w:tcW w:w="3033" w:type="pct"/>
            <w:vAlign w:val="center"/>
          </w:tcPr>
          <w:p>
            <w:pPr>
              <w:snapToGrid w:val="0"/>
              <w:rPr>
                <w:rFonts w:eastAsia="仿宋_GB2312"/>
                <w:sz w:val="24"/>
              </w:rPr>
            </w:pPr>
            <w:r>
              <w:rPr>
                <w:rFonts w:eastAsia="仿宋_GB2312"/>
                <w:sz w:val="24"/>
              </w:rPr>
              <w:t>设备的操作屏附近或设备易观察区域上设置三色指示灯，以实时反映设备的运行状态。报警时需通过声、光反馈。</w:t>
            </w:r>
          </w:p>
        </w:tc>
        <w:tc>
          <w:tcPr>
            <w:tcW w:w="791" w:type="pct"/>
            <w:vAlign w:val="center"/>
          </w:tcPr>
          <w:p>
            <w:pPr>
              <w:snapToGrid w:val="0"/>
              <w:jc w:val="center"/>
              <w:rPr>
                <w:rFonts w:eastAsia="仿宋_GB2312"/>
                <w:sz w:val="24"/>
              </w:rPr>
            </w:pPr>
            <w:r>
              <w:rPr>
                <w:rFonts w:eastAsia="仿宋_GB2312"/>
                <w:sz w:val="24"/>
              </w:rPr>
              <w:t>必需</w:t>
            </w:r>
          </w:p>
        </w:tc>
        <w:tc>
          <w:tcPr>
            <w:tcW w:w="773" w:type="pct"/>
          </w:tcPr>
          <w:p>
            <w:pPr>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8" w:hRule="exact"/>
          <w:jc w:val="center"/>
        </w:trPr>
        <w:tc>
          <w:tcPr>
            <w:tcW w:w="403" w:type="pct"/>
            <w:vAlign w:val="center"/>
          </w:tcPr>
          <w:p>
            <w:pPr>
              <w:snapToGrid w:val="0"/>
              <w:jc w:val="center"/>
              <w:rPr>
                <w:rFonts w:eastAsia="仿宋_GB2312"/>
                <w:sz w:val="24"/>
              </w:rPr>
            </w:pPr>
            <w:r>
              <w:rPr>
                <w:rFonts w:eastAsia="仿宋_GB2312"/>
                <w:sz w:val="24"/>
              </w:rPr>
              <w:t>6.5</w:t>
            </w:r>
          </w:p>
        </w:tc>
        <w:tc>
          <w:tcPr>
            <w:tcW w:w="3033" w:type="pct"/>
            <w:vAlign w:val="center"/>
          </w:tcPr>
          <w:p>
            <w:pPr>
              <w:snapToGrid w:val="0"/>
              <w:rPr>
                <w:rFonts w:eastAsia="仿宋_GB2312"/>
                <w:sz w:val="24"/>
              </w:rPr>
            </w:pPr>
            <w:r>
              <w:rPr>
                <w:rFonts w:eastAsia="仿宋_GB2312"/>
                <w:sz w:val="24"/>
              </w:rPr>
              <w:t>需在具有机械损伤部位、触电危险部位、高温烫伤部位等可能对人体造成伤害的部位张贴警示标识。</w:t>
            </w:r>
          </w:p>
        </w:tc>
        <w:tc>
          <w:tcPr>
            <w:tcW w:w="791" w:type="pct"/>
            <w:vAlign w:val="center"/>
          </w:tcPr>
          <w:p>
            <w:pPr>
              <w:snapToGrid w:val="0"/>
              <w:jc w:val="center"/>
              <w:rPr>
                <w:rFonts w:eastAsia="仿宋_GB2312"/>
                <w:sz w:val="24"/>
              </w:rPr>
            </w:pPr>
            <w:r>
              <w:rPr>
                <w:rFonts w:eastAsia="仿宋_GB2312"/>
                <w:sz w:val="24"/>
              </w:rPr>
              <w:t>必需</w:t>
            </w:r>
          </w:p>
        </w:tc>
        <w:tc>
          <w:tcPr>
            <w:tcW w:w="773" w:type="pct"/>
          </w:tcPr>
          <w:p>
            <w:pPr>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403" w:type="pct"/>
            <w:vAlign w:val="center"/>
          </w:tcPr>
          <w:p>
            <w:pPr>
              <w:snapToGrid w:val="0"/>
              <w:jc w:val="center"/>
              <w:rPr>
                <w:rFonts w:eastAsia="仿宋_GB2312"/>
                <w:sz w:val="24"/>
              </w:rPr>
            </w:pPr>
            <w:r>
              <w:rPr>
                <w:rFonts w:eastAsia="仿宋_GB2312"/>
                <w:sz w:val="24"/>
              </w:rPr>
              <w:t>6.7</w:t>
            </w:r>
          </w:p>
        </w:tc>
        <w:tc>
          <w:tcPr>
            <w:tcW w:w="3033" w:type="pct"/>
            <w:vAlign w:val="center"/>
          </w:tcPr>
          <w:p>
            <w:pPr>
              <w:snapToGrid w:val="0"/>
              <w:rPr>
                <w:rFonts w:eastAsia="仿宋_GB2312"/>
                <w:sz w:val="24"/>
              </w:rPr>
            </w:pPr>
            <w:r>
              <w:rPr>
                <w:rFonts w:eastAsia="仿宋_GB2312"/>
                <w:sz w:val="24"/>
              </w:rPr>
              <w:t>设备边缘应该光滑，没有潜在尖角伤及操作员工。</w:t>
            </w:r>
          </w:p>
        </w:tc>
        <w:tc>
          <w:tcPr>
            <w:tcW w:w="791" w:type="pct"/>
            <w:vAlign w:val="center"/>
          </w:tcPr>
          <w:p>
            <w:pPr>
              <w:snapToGrid w:val="0"/>
              <w:jc w:val="center"/>
              <w:rPr>
                <w:rFonts w:eastAsia="仿宋_GB2312"/>
                <w:sz w:val="24"/>
              </w:rPr>
            </w:pPr>
            <w:r>
              <w:rPr>
                <w:rFonts w:eastAsia="仿宋_GB2312"/>
                <w:sz w:val="24"/>
              </w:rPr>
              <w:t>必需</w:t>
            </w:r>
          </w:p>
        </w:tc>
        <w:tc>
          <w:tcPr>
            <w:tcW w:w="773" w:type="pct"/>
          </w:tcPr>
          <w:p>
            <w:pPr>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9" w:hRule="exact"/>
          <w:jc w:val="center"/>
        </w:trPr>
        <w:tc>
          <w:tcPr>
            <w:tcW w:w="403" w:type="pct"/>
            <w:vAlign w:val="center"/>
          </w:tcPr>
          <w:p>
            <w:pPr>
              <w:snapToGrid w:val="0"/>
              <w:jc w:val="center"/>
              <w:rPr>
                <w:rFonts w:eastAsia="仿宋_GB2312"/>
                <w:sz w:val="24"/>
              </w:rPr>
            </w:pPr>
            <w:r>
              <w:rPr>
                <w:rFonts w:eastAsia="仿宋_GB2312"/>
                <w:sz w:val="24"/>
              </w:rPr>
              <w:t>6.8</w:t>
            </w:r>
          </w:p>
        </w:tc>
        <w:tc>
          <w:tcPr>
            <w:tcW w:w="3033" w:type="pct"/>
            <w:vAlign w:val="center"/>
          </w:tcPr>
          <w:p>
            <w:pPr>
              <w:snapToGrid w:val="0"/>
              <w:rPr>
                <w:rFonts w:eastAsia="仿宋_GB2312"/>
                <w:sz w:val="24"/>
              </w:rPr>
            </w:pPr>
            <w:r>
              <w:rPr>
                <w:rFonts w:eastAsia="仿宋_GB2312"/>
                <w:sz w:val="24"/>
              </w:rPr>
              <w:t>施工方开工之前需要进行安全培训，并进行培训签到</w:t>
            </w:r>
            <w:r>
              <w:rPr>
                <w:rFonts w:hint="eastAsia" w:eastAsia="仿宋_GB2312"/>
                <w:sz w:val="24"/>
              </w:rPr>
              <w:t>。</w:t>
            </w:r>
          </w:p>
        </w:tc>
        <w:tc>
          <w:tcPr>
            <w:tcW w:w="791" w:type="pct"/>
            <w:vAlign w:val="center"/>
          </w:tcPr>
          <w:p>
            <w:pPr>
              <w:snapToGrid w:val="0"/>
              <w:jc w:val="center"/>
              <w:rPr>
                <w:rFonts w:eastAsia="仿宋_GB2312"/>
                <w:sz w:val="24"/>
              </w:rPr>
            </w:pPr>
            <w:r>
              <w:rPr>
                <w:rFonts w:eastAsia="仿宋_GB2312"/>
                <w:sz w:val="24"/>
              </w:rPr>
              <w:t>必需</w:t>
            </w:r>
          </w:p>
        </w:tc>
        <w:tc>
          <w:tcPr>
            <w:tcW w:w="773" w:type="pct"/>
          </w:tcPr>
          <w:p>
            <w:pPr>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9" w:hRule="exact"/>
          <w:jc w:val="center"/>
        </w:trPr>
        <w:tc>
          <w:tcPr>
            <w:tcW w:w="403" w:type="pct"/>
            <w:vAlign w:val="center"/>
          </w:tcPr>
          <w:p>
            <w:pPr>
              <w:snapToGrid w:val="0"/>
              <w:jc w:val="center"/>
              <w:rPr>
                <w:rFonts w:eastAsia="仿宋_GB2312"/>
                <w:sz w:val="24"/>
              </w:rPr>
            </w:pPr>
            <w:r>
              <w:rPr>
                <w:rFonts w:eastAsia="仿宋_GB2312"/>
                <w:sz w:val="24"/>
              </w:rPr>
              <w:t>6.9</w:t>
            </w:r>
          </w:p>
        </w:tc>
        <w:tc>
          <w:tcPr>
            <w:tcW w:w="3033" w:type="pct"/>
            <w:vAlign w:val="center"/>
          </w:tcPr>
          <w:p>
            <w:pPr>
              <w:snapToGrid w:val="0"/>
              <w:rPr>
                <w:rFonts w:eastAsia="仿宋_GB2312"/>
                <w:sz w:val="24"/>
              </w:rPr>
            </w:pPr>
            <w:r>
              <w:rPr>
                <w:rFonts w:eastAsia="仿宋_GB2312"/>
                <w:sz w:val="24"/>
              </w:rPr>
              <w:t>施工方负责提供所有施工人员的安全防护用具，包含不限于安全头盔，手套等。</w:t>
            </w:r>
          </w:p>
        </w:tc>
        <w:tc>
          <w:tcPr>
            <w:tcW w:w="791" w:type="pct"/>
            <w:vAlign w:val="center"/>
          </w:tcPr>
          <w:p>
            <w:pPr>
              <w:snapToGrid w:val="0"/>
              <w:jc w:val="center"/>
              <w:rPr>
                <w:rFonts w:eastAsia="仿宋_GB2312"/>
                <w:sz w:val="24"/>
              </w:rPr>
            </w:pPr>
            <w:r>
              <w:rPr>
                <w:rFonts w:eastAsia="仿宋_GB2312"/>
                <w:sz w:val="24"/>
              </w:rPr>
              <w:t>必需</w:t>
            </w:r>
          </w:p>
        </w:tc>
        <w:tc>
          <w:tcPr>
            <w:tcW w:w="773" w:type="pct"/>
          </w:tcPr>
          <w:p>
            <w:pPr>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0" w:hRule="exact"/>
          <w:jc w:val="center"/>
        </w:trPr>
        <w:tc>
          <w:tcPr>
            <w:tcW w:w="403" w:type="pct"/>
            <w:vAlign w:val="center"/>
          </w:tcPr>
          <w:p>
            <w:pPr>
              <w:snapToGrid w:val="0"/>
              <w:jc w:val="center"/>
              <w:rPr>
                <w:rFonts w:eastAsia="仿宋_GB2312"/>
                <w:sz w:val="24"/>
              </w:rPr>
            </w:pPr>
            <w:r>
              <w:rPr>
                <w:rFonts w:eastAsia="仿宋_GB2312"/>
                <w:sz w:val="24"/>
              </w:rPr>
              <w:t>6.10</w:t>
            </w:r>
          </w:p>
        </w:tc>
        <w:tc>
          <w:tcPr>
            <w:tcW w:w="3033" w:type="pct"/>
            <w:vAlign w:val="center"/>
          </w:tcPr>
          <w:p>
            <w:pPr>
              <w:snapToGrid w:val="0"/>
              <w:rPr>
                <w:rFonts w:eastAsia="仿宋_GB2312"/>
                <w:sz w:val="24"/>
              </w:rPr>
            </w:pPr>
            <w:r>
              <w:rPr>
                <w:rFonts w:eastAsia="仿宋_GB2312"/>
                <w:sz w:val="24"/>
              </w:rPr>
              <w:t>施工人员需严格遵守广西双钱健康产业股份有限公司的各项公司规章制度和行为准则。遵守我司安全保卫的各项条款。</w:t>
            </w:r>
          </w:p>
        </w:tc>
        <w:tc>
          <w:tcPr>
            <w:tcW w:w="791" w:type="pct"/>
            <w:vAlign w:val="center"/>
          </w:tcPr>
          <w:p>
            <w:pPr>
              <w:snapToGrid w:val="0"/>
              <w:jc w:val="center"/>
              <w:rPr>
                <w:rFonts w:eastAsia="仿宋_GB2312"/>
                <w:sz w:val="24"/>
              </w:rPr>
            </w:pPr>
            <w:r>
              <w:rPr>
                <w:rFonts w:eastAsia="仿宋_GB2312"/>
                <w:sz w:val="24"/>
              </w:rPr>
              <w:t>必需</w:t>
            </w:r>
          </w:p>
        </w:tc>
        <w:tc>
          <w:tcPr>
            <w:tcW w:w="773" w:type="pct"/>
          </w:tcPr>
          <w:p>
            <w:pPr>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44" w:hRule="exact"/>
          <w:jc w:val="center"/>
        </w:trPr>
        <w:tc>
          <w:tcPr>
            <w:tcW w:w="403" w:type="pct"/>
            <w:vAlign w:val="center"/>
          </w:tcPr>
          <w:p>
            <w:pPr>
              <w:snapToGrid w:val="0"/>
              <w:jc w:val="center"/>
              <w:rPr>
                <w:rFonts w:eastAsia="仿宋_GB2312"/>
                <w:sz w:val="24"/>
              </w:rPr>
            </w:pPr>
            <w:r>
              <w:rPr>
                <w:rFonts w:eastAsia="仿宋_GB2312"/>
                <w:sz w:val="24"/>
              </w:rPr>
              <w:t>6.11</w:t>
            </w:r>
          </w:p>
        </w:tc>
        <w:tc>
          <w:tcPr>
            <w:tcW w:w="3033" w:type="pct"/>
            <w:vAlign w:val="center"/>
          </w:tcPr>
          <w:p>
            <w:pPr>
              <w:snapToGrid w:val="0"/>
              <w:rPr>
                <w:rFonts w:eastAsia="仿宋_GB2312"/>
                <w:sz w:val="24"/>
              </w:rPr>
            </w:pPr>
            <w:r>
              <w:rPr>
                <w:rFonts w:eastAsia="仿宋_GB2312"/>
                <w:sz w:val="24"/>
              </w:rPr>
              <w:t>施工单位进场施工前，应按照中恒集团的要求，每位施工人员都需办理临时工作证。进入园区时，佩戴在身上，以便检查和管理，完工后，将临时工作证退回。</w:t>
            </w:r>
          </w:p>
        </w:tc>
        <w:tc>
          <w:tcPr>
            <w:tcW w:w="791" w:type="pct"/>
            <w:vAlign w:val="center"/>
          </w:tcPr>
          <w:p>
            <w:pPr>
              <w:snapToGrid w:val="0"/>
              <w:jc w:val="center"/>
              <w:rPr>
                <w:rFonts w:eastAsia="仿宋_GB2312"/>
                <w:sz w:val="24"/>
              </w:rPr>
            </w:pPr>
            <w:r>
              <w:rPr>
                <w:rFonts w:eastAsia="仿宋_GB2312"/>
                <w:sz w:val="24"/>
              </w:rPr>
              <w:t>必需</w:t>
            </w:r>
          </w:p>
        </w:tc>
        <w:tc>
          <w:tcPr>
            <w:tcW w:w="773" w:type="pct"/>
          </w:tcPr>
          <w:p>
            <w:pPr>
              <w:snapToGrid w:val="0"/>
              <w:jc w:val="center"/>
              <w:rPr>
                <w:rFonts w:eastAsia="仿宋_GB2312"/>
                <w:sz w:val="24"/>
              </w:rPr>
            </w:pPr>
          </w:p>
        </w:tc>
      </w:tr>
    </w:tbl>
    <w:p>
      <w:pPr>
        <w:spacing w:line="560" w:lineRule="exact"/>
        <w:ind w:firstLine="643" w:firstLineChars="200"/>
        <w:outlineLvl w:val="0"/>
        <w:rPr>
          <w:rFonts w:eastAsia="仿宋_GB2312"/>
          <w:b/>
          <w:sz w:val="32"/>
          <w:szCs w:val="32"/>
        </w:rPr>
      </w:pPr>
      <w:bookmarkStart w:id="28" w:name="_Toc513628074"/>
      <w:bookmarkStart w:id="29" w:name="_Toc522719331"/>
      <w:r>
        <w:rPr>
          <w:rFonts w:eastAsia="仿宋_GB2312"/>
          <w:b/>
          <w:sz w:val="32"/>
          <w:szCs w:val="32"/>
        </w:rPr>
        <w:t>7.文件</w:t>
      </w:r>
      <w:bookmarkEnd w:id="28"/>
      <w:r>
        <w:rPr>
          <w:rFonts w:eastAsia="仿宋_GB2312"/>
          <w:b/>
          <w:sz w:val="32"/>
          <w:szCs w:val="32"/>
        </w:rPr>
        <w:t>要求</w:t>
      </w:r>
      <w:bookmarkEnd w:id="29"/>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5492"/>
        <w:gridCol w:w="1433"/>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1" w:hRule="exact"/>
          <w:jc w:val="center"/>
        </w:trPr>
        <w:tc>
          <w:tcPr>
            <w:tcW w:w="405" w:type="pct"/>
            <w:vAlign w:val="center"/>
          </w:tcPr>
          <w:p>
            <w:pPr>
              <w:snapToGrid w:val="0"/>
              <w:jc w:val="center"/>
              <w:rPr>
                <w:rFonts w:eastAsia="楷体_GB2312"/>
                <w:sz w:val="24"/>
              </w:rPr>
            </w:pPr>
            <w:r>
              <w:rPr>
                <w:rFonts w:eastAsia="楷体_GB2312"/>
                <w:sz w:val="24"/>
              </w:rPr>
              <w:t>序号</w:t>
            </w:r>
          </w:p>
        </w:tc>
        <w:tc>
          <w:tcPr>
            <w:tcW w:w="3031" w:type="pct"/>
            <w:vAlign w:val="center"/>
          </w:tcPr>
          <w:p>
            <w:pPr>
              <w:snapToGrid w:val="0"/>
              <w:jc w:val="center"/>
              <w:rPr>
                <w:rFonts w:eastAsia="楷体_GB2312"/>
                <w:sz w:val="24"/>
              </w:rPr>
            </w:pPr>
            <w:r>
              <w:rPr>
                <w:rFonts w:eastAsia="楷体_GB2312"/>
                <w:sz w:val="24"/>
              </w:rPr>
              <w:t>需求内容</w:t>
            </w:r>
          </w:p>
        </w:tc>
        <w:tc>
          <w:tcPr>
            <w:tcW w:w="791" w:type="pct"/>
            <w:vAlign w:val="center"/>
          </w:tcPr>
          <w:p>
            <w:pPr>
              <w:snapToGrid w:val="0"/>
              <w:jc w:val="center"/>
              <w:rPr>
                <w:rFonts w:eastAsia="楷体_GB2312"/>
                <w:sz w:val="24"/>
              </w:rPr>
            </w:pPr>
            <w:r>
              <w:rPr>
                <w:rFonts w:eastAsia="楷体_GB2312"/>
                <w:sz w:val="24"/>
              </w:rPr>
              <w:t>必需或期望</w:t>
            </w:r>
          </w:p>
        </w:tc>
        <w:tc>
          <w:tcPr>
            <w:tcW w:w="773" w:type="pct"/>
            <w:vAlign w:val="center"/>
          </w:tcPr>
          <w:p>
            <w:pPr>
              <w:snapToGrid w:val="0"/>
              <w:jc w:val="center"/>
              <w:rPr>
                <w:rFonts w:eastAsia="楷体_GB2312"/>
                <w:sz w:val="24"/>
              </w:rPr>
            </w:pPr>
            <w:r>
              <w:rPr>
                <w:rFonts w:eastAsia="楷体_GB2312"/>
                <w:sz w:val="24"/>
              </w:rPr>
              <w:t>供方响应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9" w:hRule="exact"/>
          <w:jc w:val="center"/>
        </w:trPr>
        <w:tc>
          <w:tcPr>
            <w:tcW w:w="405" w:type="pct"/>
            <w:vAlign w:val="center"/>
          </w:tcPr>
          <w:p>
            <w:pPr>
              <w:snapToGrid w:val="0"/>
              <w:jc w:val="center"/>
              <w:rPr>
                <w:rFonts w:eastAsia="楷体_GB2312"/>
                <w:sz w:val="24"/>
              </w:rPr>
            </w:pPr>
            <w:r>
              <w:rPr>
                <w:rFonts w:eastAsia="楷体_GB2312"/>
                <w:sz w:val="24"/>
              </w:rPr>
              <w:t>7.1</w:t>
            </w:r>
          </w:p>
        </w:tc>
        <w:tc>
          <w:tcPr>
            <w:tcW w:w="3031" w:type="pct"/>
            <w:vAlign w:val="center"/>
          </w:tcPr>
          <w:p>
            <w:pPr>
              <w:snapToGrid w:val="0"/>
              <w:rPr>
                <w:rFonts w:eastAsia="楷体_GB2312"/>
                <w:sz w:val="24"/>
              </w:rPr>
            </w:pPr>
            <w:r>
              <w:rPr>
                <w:rFonts w:eastAsia="楷体_GB2312"/>
                <w:sz w:val="24"/>
              </w:rPr>
              <w:t>设备的操作手册。内容应包括：机器的电气原理图和安全保护装置工作原理、操作使用、调整及维护保养文件。其中设备维护、维修、润滑及点检部位需做一份详细表格。</w:t>
            </w:r>
          </w:p>
        </w:tc>
        <w:tc>
          <w:tcPr>
            <w:tcW w:w="791" w:type="pct"/>
            <w:vAlign w:val="center"/>
          </w:tcPr>
          <w:p>
            <w:pPr>
              <w:snapToGrid w:val="0"/>
              <w:jc w:val="center"/>
              <w:rPr>
                <w:rFonts w:eastAsia="楷体_GB2312"/>
                <w:sz w:val="24"/>
              </w:rPr>
            </w:pPr>
            <w:r>
              <w:rPr>
                <w:rFonts w:eastAsia="楷体_GB2312"/>
                <w:sz w:val="24"/>
              </w:rPr>
              <w:t>必需</w:t>
            </w:r>
          </w:p>
        </w:tc>
        <w:tc>
          <w:tcPr>
            <w:tcW w:w="773" w:type="pct"/>
          </w:tcPr>
          <w:p>
            <w:pPr>
              <w:snapToGrid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exact"/>
          <w:jc w:val="center"/>
        </w:trPr>
        <w:tc>
          <w:tcPr>
            <w:tcW w:w="405" w:type="pct"/>
            <w:vAlign w:val="center"/>
          </w:tcPr>
          <w:p>
            <w:pPr>
              <w:snapToGrid w:val="0"/>
              <w:jc w:val="center"/>
              <w:rPr>
                <w:rFonts w:eastAsia="楷体_GB2312"/>
                <w:sz w:val="24"/>
              </w:rPr>
            </w:pPr>
            <w:r>
              <w:rPr>
                <w:rFonts w:eastAsia="楷体_GB2312"/>
                <w:sz w:val="24"/>
              </w:rPr>
              <w:t>7.2</w:t>
            </w:r>
          </w:p>
        </w:tc>
        <w:tc>
          <w:tcPr>
            <w:tcW w:w="3031" w:type="pct"/>
            <w:vAlign w:val="center"/>
          </w:tcPr>
          <w:p>
            <w:pPr>
              <w:snapToGrid w:val="0"/>
              <w:rPr>
                <w:rFonts w:eastAsia="楷体_GB2312"/>
                <w:sz w:val="24"/>
              </w:rPr>
            </w:pPr>
            <w:r>
              <w:rPr>
                <w:rFonts w:eastAsia="楷体_GB2312"/>
                <w:sz w:val="24"/>
              </w:rPr>
              <w:t>应提供纸质使用说明书和电子版说明书。</w:t>
            </w:r>
          </w:p>
        </w:tc>
        <w:tc>
          <w:tcPr>
            <w:tcW w:w="791" w:type="pct"/>
            <w:vAlign w:val="center"/>
          </w:tcPr>
          <w:p>
            <w:pPr>
              <w:snapToGrid w:val="0"/>
              <w:jc w:val="center"/>
              <w:rPr>
                <w:rFonts w:eastAsia="楷体_GB2312"/>
                <w:sz w:val="24"/>
              </w:rPr>
            </w:pPr>
            <w:r>
              <w:rPr>
                <w:rFonts w:eastAsia="楷体_GB2312"/>
                <w:sz w:val="24"/>
              </w:rPr>
              <w:t>必需</w:t>
            </w:r>
          </w:p>
        </w:tc>
        <w:tc>
          <w:tcPr>
            <w:tcW w:w="773" w:type="pct"/>
          </w:tcPr>
          <w:p>
            <w:pPr>
              <w:snapToGrid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5" w:hRule="exact"/>
          <w:jc w:val="center"/>
        </w:trPr>
        <w:tc>
          <w:tcPr>
            <w:tcW w:w="405" w:type="pct"/>
            <w:vAlign w:val="center"/>
          </w:tcPr>
          <w:p>
            <w:pPr>
              <w:snapToGrid w:val="0"/>
              <w:jc w:val="center"/>
              <w:rPr>
                <w:rFonts w:eastAsia="楷体_GB2312"/>
                <w:sz w:val="24"/>
              </w:rPr>
            </w:pPr>
            <w:r>
              <w:rPr>
                <w:rFonts w:eastAsia="楷体_GB2312"/>
                <w:sz w:val="24"/>
              </w:rPr>
              <w:t>7.3</w:t>
            </w:r>
          </w:p>
        </w:tc>
        <w:tc>
          <w:tcPr>
            <w:tcW w:w="3031" w:type="pct"/>
            <w:vAlign w:val="center"/>
          </w:tcPr>
          <w:p>
            <w:pPr>
              <w:snapToGrid w:val="0"/>
              <w:rPr>
                <w:rFonts w:eastAsia="楷体_GB2312"/>
                <w:sz w:val="24"/>
              </w:rPr>
            </w:pPr>
            <w:r>
              <w:rPr>
                <w:rFonts w:eastAsia="楷体_GB2312"/>
                <w:sz w:val="24"/>
              </w:rPr>
              <w:t>应提供配件清单，并注明易耗零部件的建议更换周期。</w:t>
            </w:r>
          </w:p>
        </w:tc>
        <w:tc>
          <w:tcPr>
            <w:tcW w:w="791" w:type="pct"/>
            <w:vAlign w:val="center"/>
          </w:tcPr>
          <w:p>
            <w:pPr>
              <w:snapToGrid w:val="0"/>
              <w:jc w:val="center"/>
              <w:rPr>
                <w:rFonts w:eastAsia="楷体_GB2312"/>
                <w:sz w:val="24"/>
              </w:rPr>
            </w:pPr>
            <w:r>
              <w:rPr>
                <w:rFonts w:eastAsia="楷体_GB2312"/>
                <w:sz w:val="24"/>
              </w:rPr>
              <w:t>必需</w:t>
            </w:r>
          </w:p>
        </w:tc>
        <w:tc>
          <w:tcPr>
            <w:tcW w:w="773" w:type="pct"/>
          </w:tcPr>
          <w:p>
            <w:pPr>
              <w:snapToGrid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4" w:hRule="exact"/>
          <w:jc w:val="center"/>
        </w:trPr>
        <w:tc>
          <w:tcPr>
            <w:tcW w:w="405" w:type="pct"/>
            <w:vAlign w:val="center"/>
          </w:tcPr>
          <w:p>
            <w:pPr>
              <w:snapToGrid w:val="0"/>
              <w:jc w:val="center"/>
              <w:rPr>
                <w:rFonts w:eastAsia="楷体_GB2312"/>
                <w:sz w:val="24"/>
              </w:rPr>
            </w:pPr>
            <w:r>
              <w:rPr>
                <w:rFonts w:eastAsia="楷体_GB2312"/>
                <w:sz w:val="24"/>
              </w:rPr>
              <w:t>7.4</w:t>
            </w:r>
          </w:p>
        </w:tc>
        <w:tc>
          <w:tcPr>
            <w:tcW w:w="3031" w:type="pct"/>
            <w:vAlign w:val="center"/>
          </w:tcPr>
          <w:p>
            <w:pPr>
              <w:pStyle w:val="70"/>
              <w:snapToGrid w:val="0"/>
              <w:spacing w:before="0" w:after="0"/>
              <w:jc w:val="left"/>
              <w:rPr>
                <w:rFonts w:eastAsia="楷体_GB2312"/>
                <w:kern w:val="2"/>
                <w:lang w:eastAsia="zh-CN"/>
              </w:rPr>
            </w:pPr>
            <w:r>
              <w:rPr>
                <w:rFonts w:eastAsia="楷体_GB2312"/>
                <w:kern w:val="2"/>
                <w:lang w:eastAsia="zh-CN"/>
              </w:rPr>
              <w:t>设备供货厂家需提供设备的装配示意图。</w:t>
            </w:r>
          </w:p>
        </w:tc>
        <w:tc>
          <w:tcPr>
            <w:tcW w:w="791" w:type="pct"/>
            <w:vAlign w:val="center"/>
          </w:tcPr>
          <w:p>
            <w:pPr>
              <w:snapToGrid w:val="0"/>
              <w:jc w:val="center"/>
              <w:rPr>
                <w:rFonts w:eastAsia="楷体_GB2312"/>
                <w:sz w:val="24"/>
              </w:rPr>
            </w:pPr>
            <w:r>
              <w:rPr>
                <w:rFonts w:eastAsia="楷体_GB2312"/>
                <w:sz w:val="24"/>
              </w:rPr>
              <w:t>必需</w:t>
            </w:r>
          </w:p>
        </w:tc>
        <w:tc>
          <w:tcPr>
            <w:tcW w:w="773" w:type="pct"/>
          </w:tcPr>
          <w:p>
            <w:pPr>
              <w:snapToGrid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3" w:hRule="exact"/>
          <w:jc w:val="center"/>
        </w:trPr>
        <w:tc>
          <w:tcPr>
            <w:tcW w:w="405" w:type="pct"/>
            <w:vAlign w:val="center"/>
          </w:tcPr>
          <w:p>
            <w:pPr>
              <w:snapToGrid w:val="0"/>
              <w:jc w:val="center"/>
              <w:rPr>
                <w:rFonts w:eastAsia="楷体_GB2312"/>
                <w:sz w:val="24"/>
              </w:rPr>
            </w:pPr>
            <w:r>
              <w:rPr>
                <w:rFonts w:eastAsia="楷体_GB2312"/>
                <w:sz w:val="24"/>
              </w:rPr>
              <w:t>7.5</w:t>
            </w:r>
          </w:p>
        </w:tc>
        <w:tc>
          <w:tcPr>
            <w:tcW w:w="3031" w:type="pct"/>
            <w:vAlign w:val="center"/>
          </w:tcPr>
          <w:p>
            <w:pPr>
              <w:snapToGrid w:val="0"/>
              <w:rPr>
                <w:rFonts w:eastAsia="楷体_GB2312"/>
                <w:sz w:val="24"/>
              </w:rPr>
            </w:pPr>
            <w:r>
              <w:rPr>
                <w:rFonts w:eastAsia="楷体_GB2312"/>
                <w:sz w:val="24"/>
              </w:rPr>
              <w:t>应有文件说明设备常见故障，并指出解决方法。</w:t>
            </w:r>
          </w:p>
        </w:tc>
        <w:tc>
          <w:tcPr>
            <w:tcW w:w="791" w:type="pct"/>
            <w:vAlign w:val="center"/>
          </w:tcPr>
          <w:p>
            <w:pPr>
              <w:snapToGrid w:val="0"/>
              <w:jc w:val="center"/>
              <w:rPr>
                <w:rFonts w:eastAsia="楷体_GB2312"/>
                <w:sz w:val="24"/>
              </w:rPr>
            </w:pPr>
            <w:r>
              <w:rPr>
                <w:rFonts w:eastAsia="楷体_GB2312"/>
                <w:sz w:val="24"/>
              </w:rPr>
              <w:t>必需</w:t>
            </w:r>
          </w:p>
        </w:tc>
        <w:tc>
          <w:tcPr>
            <w:tcW w:w="773" w:type="pct"/>
          </w:tcPr>
          <w:p>
            <w:pPr>
              <w:snapToGrid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5" w:hRule="exact"/>
          <w:jc w:val="center"/>
        </w:trPr>
        <w:tc>
          <w:tcPr>
            <w:tcW w:w="405" w:type="pct"/>
            <w:vAlign w:val="center"/>
          </w:tcPr>
          <w:p>
            <w:pPr>
              <w:snapToGrid w:val="0"/>
              <w:jc w:val="center"/>
              <w:rPr>
                <w:rFonts w:eastAsia="楷体_GB2312"/>
                <w:sz w:val="24"/>
              </w:rPr>
            </w:pPr>
            <w:r>
              <w:rPr>
                <w:rFonts w:eastAsia="楷体_GB2312"/>
                <w:sz w:val="24"/>
              </w:rPr>
              <w:t>7.6</w:t>
            </w:r>
          </w:p>
        </w:tc>
        <w:tc>
          <w:tcPr>
            <w:tcW w:w="3031" w:type="pct"/>
            <w:vAlign w:val="center"/>
          </w:tcPr>
          <w:p>
            <w:pPr>
              <w:snapToGrid w:val="0"/>
              <w:rPr>
                <w:rFonts w:eastAsia="楷体_GB2312"/>
                <w:sz w:val="24"/>
              </w:rPr>
            </w:pPr>
            <w:r>
              <w:rPr>
                <w:rFonts w:eastAsia="楷体_GB2312"/>
                <w:sz w:val="24"/>
              </w:rPr>
              <w:t>设备到货需要有完整准确的装箱清单。</w:t>
            </w:r>
          </w:p>
        </w:tc>
        <w:tc>
          <w:tcPr>
            <w:tcW w:w="791" w:type="pct"/>
            <w:vAlign w:val="center"/>
          </w:tcPr>
          <w:p>
            <w:pPr>
              <w:snapToGrid w:val="0"/>
              <w:jc w:val="center"/>
              <w:rPr>
                <w:rFonts w:eastAsia="楷体_GB2312"/>
                <w:sz w:val="24"/>
              </w:rPr>
            </w:pPr>
            <w:r>
              <w:rPr>
                <w:rFonts w:eastAsia="楷体_GB2312"/>
                <w:sz w:val="24"/>
              </w:rPr>
              <w:t>必需</w:t>
            </w:r>
          </w:p>
        </w:tc>
        <w:tc>
          <w:tcPr>
            <w:tcW w:w="773" w:type="pct"/>
          </w:tcPr>
          <w:p>
            <w:pPr>
              <w:snapToGrid w:val="0"/>
              <w:jc w:val="center"/>
              <w:rPr>
                <w:rFonts w:eastAsia="楷体_GB2312"/>
                <w:sz w:val="24"/>
              </w:rPr>
            </w:pPr>
          </w:p>
        </w:tc>
      </w:tr>
    </w:tbl>
    <w:p>
      <w:pPr>
        <w:spacing w:line="560" w:lineRule="exact"/>
        <w:ind w:firstLine="643" w:firstLineChars="200"/>
        <w:outlineLvl w:val="0"/>
        <w:rPr>
          <w:rFonts w:eastAsia="仿宋_GB2312"/>
          <w:b/>
          <w:sz w:val="32"/>
          <w:szCs w:val="32"/>
        </w:rPr>
      </w:pPr>
      <w:bookmarkStart w:id="30" w:name="_Toc522719332"/>
      <w:bookmarkStart w:id="31" w:name="_Toc513628075"/>
      <w:r>
        <w:rPr>
          <w:rFonts w:eastAsia="仿宋_GB2312"/>
          <w:b/>
          <w:sz w:val="32"/>
          <w:szCs w:val="32"/>
        </w:rPr>
        <w:t>8.培训要求</w:t>
      </w:r>
      <w:bookmarkEnd w:id="30"/>
      <w:bookmarkEnd w:id="31"/>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5490"/>
        <w:gridCol w:w="1434"/>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9" w:hRule="exact"/>
          <w:jc w:val="center"/>
        </w:trPr>
        <w:tc>
          <w:tcPr>
            <w:tcW w:w="406" w:type="pct"/>
            <w:vAlign w:val="center"/>
          </w:tcPr>
          <w:p>
            <w:pPr>
              <w:snapToGrid w:val="0"/>
              <w:jc w:val="center"/>
              <w:rPr>
                <w:rFonts w:eastAsia="楷体_GB2312"/>
                <w:sz w:val="24"/>
              </w:rPr>
            </w:pPr>
            <w:r>
              <w:rPr>
                <w:rFonts w:eastAsia="楷体_GB2312"/>
                <w:sz w:val="24"/>
              </w:rPr>
              <w:t>序号</w:t>
            </w:r>
          </w:p>
        </w:tc>
        <w:tc>
          <w:tcPr>
            <w:tcW w:w="3029" w:type="pct"/>
            <w:vAlign w:val="center"/>
          </w:tcPr>
          <w:p>
            <w:pPr>
              <w:snapToGrid w:val="0"/>
              <w:jc w:val="center"/>
              <w:rPr>
                <w:rFonts w:eastAsia="楷体_GB2312"/>
                <w:sz w:val="24"/>
              </w:rPr>
            </w:pPr>
            <w:r>
              <w:rPr>
                <w:rFonts w:eastAsia="楷体_GB2312"/>
                <w:sz w:val="24"/>
              </w:rPr>
              <w:t>需求内容</w:t>
            </w:r>
          </w:p>
        </w:tc>
        <w:tc>
          <w:tcPr>
            <w:tcW w:w="791" w:type="pct"/>
            <w:vAlign w:val="center"/>
          </w:tcPr>
          <w:p>
            <w:pPr>
              <w:snapToGrid w:val="0"/>
              <w:jc w:val="center"/>
              <w:rPr>
                <w:rFonts w:eastAsia="楷体_GB2312"/>
                <w:sz w:val="24"/>
              </w:rPr>
            </w:pPr>
            <w:r>
              <w:rPr>
                <w:rFonts w:eastAsia="楷体_GB2312"/>
                <w:sz w:val="24"/>
              </w:rPr>
              <w:t>期望或必需</w:t>
            </w:r>
          </w:p>
        </w:tc>
        <w:tc>
          <w:tcPr>
            <w:tcW w:w="773" w:type="pct"/>
            <w:vAlign w:val="center"/>
          </w:tcPr>
          <w:p>
            <w:pPr>
              <w:snapToGrid w:val="0"/>
              <w:jc w:val="center"/>
              <w:rPr>
                <w:rFonts w:eastAsia="楷体_GB2312"/>
                <w:sz w:val="24"/>
              </w:rPr>
            </w:pPr>
            <w:r>
              <w:rPr>
                <w:rFonts w:eastAsia="楷体_GB2312"/>
                <w:sz w:val="24"/>
              </w:rPr>
              <w:t>供方响应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4" w:hRule="exact"/>
          <w:jc w:val="center"/>
        </w:trPr>
        <w:tc>
          <w:tcPr>
            <w:tcW w:w="406" w:type="pct"/>
            <w:vAlign w:val="center"/>
          </w:tcPr>
          <w:p>
            <w:pPr>
              <w:snapToGrid w:val="0"/>
              <w:jc w:val="center"/>
              <w:rPr>
                <w:rFonts w:eastAsia="楷体_GB2312"/>
                <w:sz w:val="24"/>
              </w:rPr>
            </w:pPr>
            <w:r>
              <w:rPr>
                <w:rFonts w:eastAsia="楷体_GB2312"/>
                <w:sz w:val="24"/>
              </w:rPr>
              <w:t>8.1</w:t>
            </w:r>
          </w:p>
        </w:tc>
        <w:tc>
          <w:tcPr>
            <w:tcW w:w="3029" w:type="pct"/>
            <w:vAlign w:val="center"/>
          </w:tcPr>
          <w:p>
            <w:pPr>
              <w:pStyle w:val="66"/>
              <w:snapToGrid w:val="0"/>
              <w:rPr>
                <w:rFonts w:eastAsia="楷体_GB2312"/>
                <w:kern w:val="2"/>
                <w:sz w:val="24"/>
                <w:szCs w:val="24"/>
              </w:rPr>
            </w:pPr>
            <w:r>
              <w:rPr>
                <w:rFonts w:eastAsia="楷体_GB2312"/>
                <w:kern w:val="2"/>
                <w:sz w:val="24"/>
                <w:szCs w:val="24"/>
              </w:rPr>
              <w:t>培训内容：综合培训（掌握设备理论知识）；现场培训（设备实践操作知识及维修的必备知识）。具体包括：结构原理、故障排除基本知识的培训及问题解答等。培训时长不少于2天。</w:t>
            </w:r>
          </w:p>
        </w:tc>
        <w:tc>
          <w:tcPr>
            <w:tcW w:w="791" w:type="pct"/>
            <w:vAlign w:val="center"/>
          </w:tcPr>
          <w:p>
            <w:pPr>
              <w:snapToGrid w:val="0"/>
              <w:jc w:val="center"/>
              <w:rPr>
                <w:rFonts w:eastAsia="楷体_GB2312"/>
                <w:sz w:val="24"/>
              </w:rPr>
            </w:pPr>
            <w:r>
              <w:rPr>
                <w:rFonts w:eastAsia="楷体_GB2312"/>
                <w:sz w:val="24"/>
              </w:rPr>
              <w:t>必需</w:t>
            </w:r>
          </w:p>
        </w:tc>
        <w:tc>
          <w:tcPr>
            <w:tcW w:w="773" w:type="pct"/>
          </w:tcPr>
          <w:p>
            <w:pPr>
              <w:snapToGrid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1" w:hRule="exact"/>
          <w:jc w:val="center"/>
        </w:trPr>
        <w:tc>
          <w:tcPr>
            <w:tcW w:w="406" w:type="pct"/>
            <w:vAlign w:val="center"/>
          </w:tcPr>
          <w:p>
            <w:pPr>
              <w:snapToGrid w:val="0"/>
              <w:jc w:val="center"/>
              <w:rPr>
                <w:rFonts w:eastAsia="楷体_GB2312"/>
                <w:sz w:val="24"/>
              </w:rPr>
            </w:pPr>
            <w:r>
              <w:rPr>
                <w:rFonts w:eastAsia="楷体_GB2312"/>
                <w:sz w:val="24"/>
              </w:rPr>
              <w:t>8.2</w:t>
            </w:r>
          </w:p>
        </w:tc>
        <w:tc>
          <w:tcPr>
            <w:tcW w:w="3029" w:type="pct"/>
            <w:vAlign w:val="center"/>
          </w:tcPr>
          <w:p>
            <w:pPr>
              <w:pStyle w:val="66"/>
              <w:snapToGrid w:val="0"/>
              <w:rPr>
                <w:rFonts w:eastAsia="楷体_GB2312"/>
                <w:kern w:val="2"/>
                <w:sz w:val="24"/>
                <w:szCs w:val="24"/>
              </w:rPr>
            </w:pPr>
            <w:r>
              <w:rPr>
                <w:rFonts w:eastAsia="楷体_GB2312"/>
                <w:kern w:val="2"/>
                <w:sz w:val="24"/>
                <w:szCs w:val="24"/>
              </w:rPr>
              <w:t>培训效果：使用方受训人员（至少三人）能够独立熟练完成操作，并能掌握使用过程中的注意事项，能够完成简单的故障排除。</w:t>
            </w:r>
          </w:p>
        </w:tc>
        <w:tc>
          <w:tcPr>
            <w:tcW w:w="791" w:type="pct"/>
            <w:vAlign w:val="center"/>
          </w:tcPr>
          <w:p>
            <w:pPr>
              <w:snapToGrid w:val="0"/>
              <w:jc w:val="center"/>
              <w:rPr>
                <w:rFonts w:eastAsia="楷体_GB2312"/>
                <w:sz w:val="24"/>
              </w:rPr>
            </w:pPr>
            <w:r>
              <w:rPr>
                <w:rFonts w:eastAsia="楷体_GB2312"/>
                <w:sz w:val="24"/>
              </w:rPr>
              <w:t>必需</w:t>
            </w:r>
          </w:p>
        </w:tc>
        <w:tc>
          <w:tcPr>
            <w:tcW w:w="773" w:type="pct"/>
          </w:tcPr>
          <w:p>
            <w:pPr>
              <w:snapToGrid w:val="0"/>
              <w:jc w:val="center"/>
              <w:rPr>
                <w:rFonts w:eastAsia="楷体_GB2312"/>
                <w:sz w:val="24"/>
              </w:rPr>
            </w:pPr>
          </w:p>
        </w:tc>
      </w:tr>
    </w:tbl>
    <w:p>
      <w:pPr>
        <w:snapToGrid w:val="0"/>
        <w:spacing w:line="560" w:lineRule="exact"/>
        <w:ind w:firstLine="640" w:firstLineChars="200"/>
        <w:outlineLvl w:val="0"/>
        <w:rPr>
          <w:rFonts w:eastAsia="仿宋_GB2312"/>
          <w:bCs/>
          <w:sz w:val="32"/>
          <w:szCs w:val="32"/>
        </w:rPr>
      </w:pPr>
    </w:p>
    <w:p>
      <w:pPr>
        <w:snapToGrid w:val="0"/>
        <w:spacing w:line="560" w:lineRule="exact"/>
        <w:ind w:firstLine="640" w:firstLineChars="200"/>
        <w:outlineLvl w:val="0"/>
        <w:rPr>
          <w:rFonts w:eastAsia="仿宋_GB2312"/>
          <w:bCs/>
          <w:sz w:val="32"/>
          <w:szCs w:val="32"/>
        </w:rPr>
      </w:pPr>
    </w:p>
    <w:p>
      <w:pPr>
        <w:snapToGrid w:val="0"/>
        <w:spacing w:line="560" w:lineRule="exact"/>
        <w:ind w:firstLine="643" w:firstLineChars="200"/>
        <w:outlineLvl w:val="0"/>
        <w:rPr>
          <w:rFonts w:eastAsia="仿宋_GB2312"/>
          <w:b/>
          <w:sz w:val="32"/>
          <w:szCs w:val="32"/>
        </w:rPr>
      </w:pPr>
      <w:r>
        <w:rPr>
          <w:rFonts w:eastAsia="仿宋_GB2312"/>
          <w:b/>
          <w:sz w:val="32"/>
          <w:szCs w:val="32"/>
        </w:rPr>
        <w:t>9.售后服务要求</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5499"/>
        <w:gridCol w:w="1433"/>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7" w:hRule="exact"/>
          <w:jc w:val="center"/>
        </w:trPr>
        <w:tc>
          <w:tcPr>
            <w:tcW w:w="401" w:type="pct"/>
            <w:vAlign w:val="center"/>
          </w:tcPr>
          <w:p>
            <w:pPr>
              <w:snapToGrid w:val="0"/>
              <w:jc w:val="center"/>
              <w:rPr>
                <w:rFonts w:eastAsia="楷体_GB2312"/>
                <w:sz w:val="24"/>
              </w:rPr>
            </w:pPr>
            <w:r>
              <w:rPr>
                <w:rFonts w:eastAsia="楷体_GB2312"/>
                <w:sz w:val="24"/>
              </w:rPr>
              <w:t>序号</w:t>
            </w:r>
          </w:p>
        </w:tc>
        <w:tc>
          <w:tcPr>
            <w:tcW w:w="3035" w:type="pct"/>
            <w:vAlign w:val="center"/>
          </w:tcPr>
          <w:p>
            <w:pPr>
              <w:snapToGrid w:val="0"/>
              <w:jc w:val="center"/>
              <w:rPr>
                <w:rFonts w:eastAsia="楷体_GB2312"/>
                <w:sz w:val="24"/>
              </w:rPr>
            </w:pPr>
            <w:r>
              <w:rPr>
                <w:rFonts w:eastAsia="楷体_GB2312"/>
                <w:sz w:val="24"/>
              </w:rPr>
              <w:t>需求内容</w:t>
            </w:r>
          </w:p>
        </w:tc>
        <w:tc>
          <w:tcPr>
            <w:tcW w:w="791" w:type="pct"/>
            <w:vAlign w:val="center"/>
          </w:tcPr>
          <w:p>
            <w:pPr>
              <w:snapToGrid w:val="0"/>
              <w:jc w:val="center"/>
              <w:rPr>
                <w:rFonts w:eastAsia="楷体_GB2312"/>
                <w:sz w:val="24"/>
              </w:rPr>
            </w:pPr>
            <w:r>
              <w:rPr>
                <w:rFonts w:eastAsia="楷体_GB2312"/>
                <w:sz w:val="24"/>
              </w:rPr>
              <w:t>期望或必需</w:t>
            </w:r>
          </w:p>
        </w:tc>
        <w:tc>
          <w:tcPr>
            <w:tcW w:w="773" w:type="pct"/>
            <w:vAlign w:val="center"/>
          </w:tcPr>
          <w:p>
            <w:pPr>
              <w:snapToGrid w:val="0"/>
              <w:jc w:val="center"/>
              <w:rPr>
                <w:rFonts w:eastAsia="楷体_GB2312"/>
                <w:sz w:val="24"/>
              </w:rPr>
            </w:pPr>
            <w:r>
              <w:rPr>
                <w:rFonts w:eastAsia="楷体_GB2312"/>
                <w:sz w:val="24"/>
              </w:rPr>
              <w:t>供方响应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5" w:hRule="exact"/>
          <w:jc w:val="center"/>
        </w:trPr>
        <w:tc>
          <w:tcPr>
            <w:tcW w:w="401" w:type="pct"/>
            <w:vAlign w:val="center"/>
          </w:tcPr>
          <w:p>
            <w:pPr>
              <w:snapToGrid w:val="0"/>
              <w:jc w:val="center"/>
              <w:rPr>
                <w:rFonts w:eastAsia="楷体_GB2312"/>
                <w:sz w:val="24"/>
              </w:rPr>
            </w:pPr>
            <w:r>
              <w:rPr>
                <w:rFonts w:eastAsia="楷体_GB2312"/>
                <w:sz w:val="24"/>
              </w:rPr>
              <w:t>9.1</w:t>
            </w:r>
          </w:p>
        </w:tc>
        <w:tc>
          <w:tcPr>
            <w:tcW w:w="3035" w:type="pct"/>
            <w:vAlign w:val="center"/>
          </w:tcPr>
          <w:p>
            <w:pPr>
              <w:pStyle w:val="66"/>
              <w:snapToGrid w:val="0"/>
              <w:rPr>
                <w:rFonts w:eastAsia="楷体_GB2312"/>
                <w:kern w:val="2"/>
                <w:sz w:val="24"/>
                <w:szCs w:val="24"/>
              </w:rPr>
            </w:pPr>
            <w:r>
              <w:rPr>
                <w:rFonts w:eastAsia="楷体_GB2312"/>
                <w:kern w:val="2"/>
                <w:sz w:val="24"/>
                <w:szCs w:val="24"/>
              </w:rPr>
              <w:t>设备供应商应具有良好的售后服务团队，能提供技术服务。</w:t>
            </w:r>
          </w:p>
        </w:tc>
        <w:tc>
          <w:tcPr>
            <w:tcW w:w="791" w:type="pct"/>
            <w:vAlign w:val="center"/>
          </w:tcPr>
          <w:p>
            <w:pPr>
              <w:snapToGrid w:val="0"/>
              <w:jc w:val="center"/>
              <w:rPr>
                <w:rFonts w:eastAsia="楷体_GB2312"/>
                <w:sz w:val="24"/>
              </w:rPr>
            </w:pPr>
            <w:r>
              <w:rPr>
                <w:rFonts w:eastAsia="楷体_GB2312"/>
                <w:sz w:val="24"/>
              </w:rPr>
              <w:t>必需</w:t>
            </w:r>
          </w:p>
        </w:tc>
        <w:tc>
          <w:tcPr>
            <w:tcW w:w="773" w:type="pct"/>
          </w:tcPr>
          <w:p>
            <w:pPr>
              <w:snapToGrid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3" w:hRule="exact"/>
          <w:jc w:val="center"/>
        </w:trPr>
        <w:tc>
          <w:tcPr>
            <w:tcW w:w="401" w:type="pct"/>
            <w:vAlign w:val="center"/>
          </w:tcPr>
          <w:p>
            <w:pPr>
              <w:snapToGrid w:val="0"/>
              <w:jc w:val="center"/>
              <w:rPr>
                <w:rFonts w:eastAsia="楷体_GB2312"/>
                <w:sz w:val="24"/>
              </w:rPr>
            </w:pPr>
            <w:r>
              <w:rPr>
                <w:rFonts w:eastAsia="楷体_GB2312"/>
                <w:sz w:val="24"/>
              </w:rPr>
              <w:t>9.2</w:t>
            </w:r>
          </w:p>
        </w:tc>
        <w:tc>
          <w:tcPr>
            <w:tcW w:w="3035" w:type="pct"/>
            <w:vAlign w:val="center"/>
          </w:tcPr>
          <w:p>
            <w:pPr>
              <w:pStyle w:val="66"/>
              <w:snapToGrid w:val="0"/>
              <w:rPr>
                <w:rFonts w:eastAsia="楷体_GB2312"/>
                <w:kern w:val="2"/>
                <w:sz w:val="24"/>
                <w:szCs w:val="24"/>
              </w:rPr>
            </w:pPr>
            <w:r>
              <w:rPr>
                <w:rFonts w:eastAsia="楷体_GB2312"/>
                <w:kern w:val="2"/>
                <w:sz w:val="24"/>
                <w:szCs w:val="24"/>
              </w:rPr>
              <w:t>保修期内提供优惠的维修服务及零部件，维修响应时间应在48小时内。</w:t>
            </w:r>
          </w:p>
        </w:tc>
        <w:tc>
          <w:tcPr>
            <w:tcW w:w="791" w:type="pct"/>
            <w:vAlign w:val="center"/>
          </w:tcPr>
          <w:p>
            <w:pPr>
              <w:snapToGrid w:val="0"/>
              <w:jc w:val="center"/>
              <w:rPr>
                <w:rFonts w:eastAsia="楷体_GB2312"/>
                <w:sz w:val="24"/>
              </w:rPr>
            </w:pPr>
            <w:r>
              <w:rPr>
                <w:rFonts w:eastAsia="楷体_GB2312"/>
                <w:sz w:val="24"/>
              </w:rPr>
              <w:t>必需</w:t>
            </w:r>
          </w:p>
        </w:tc>
        <w:tc>
          <w:tcPr>
            <w:tcW w:w="773" w:type="pct"/>
          </w:tcPr>
          <w:p>
            <w:pPr>
              <w:snapToGrid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5" w:hRule="exact"/>
          <w:jc w:val="center"/>
        </w:trPr>
        <w:tc>
          <w:tcPr>
            <w:tcW w:w="401" w:type="pct"/>
            <w:vAlign w:val="center"/>
          </w:tcPr>
          <w:p>
            <w:pPr>
              <w:snapToGrid w:val="0"/>
              <w:jc w:val="center"/>
              <w:rPr>
                <w:rFonts w:eastAsia="楷体_GB2312"/>
                <w:sz w:val="24"/>
              </w:rPr>
            </w:pPr>
            <w:r>
              <w:rPr>
                <w:rFonts w:eastAsia="楷体_GB2312"/>
                <w:sz w:val="24"/>
              </w:rPr>
              <w:t>9.3</w:t>
            </w:r>
          </w:p>
        </w:tc>
        <w:tc>
          <w:tcPr>
            <w:tcW w:w="3035" w:type="pct"/>
            <w:vAlign w:val="center"/>
          </w:tcPr>
          <w:p>
            <w:pPr>
              <w:snapToGrid w:val="0"/>
              <w:rPr>
                <w:rFonts w:eastAsia="楷体_GB2312"/>
                <w:sz w:val="24"/>
              </w:rPr>
            </w:pPr>
            <w:r>
              <w:rPr>
                <w:rFonts w:eastAsia="楷体_GB2312"/>
                <w:sz w:val="24"/>
              </w:rPr>
              <w:t>设备供应商应协助用户远程处理常见问题维修。</w:t>
            </w:r>
          </w:p>
        </w:tc>
        <w:tc>
          <w:tcPr>
            <w:tcW w:w="791" w:type="pct"/>
            <w:vAlign w:val="center"/>
          </w:tcPr>
          <w:p>
            <w:pPr>
              <w:snapToGrid w:val="0"/>
              <w:jc w:val="center"/>
              <w:rPr>
                <w:rFonts w:eastAsia="楷体_GB2312"/>
                <w:sz w:val="24"/>
              </w:rPr>
            </w:pPr>
            <w:r>
              <w:rPr>
                <w:rFonts w:eastAsia="楷体_GB2312"/>
                <w:sz w:val="24"/>
              </w:rPr>
              <w:t>必需</w:t>
            </w:r>
          </w:p>
        </w:tc>
        <w:tc>
          <w:tcPr>
            <w:tcW w:w="773" w:type="pct"/>
          </w:tcPr>
          <w:p>
            <w:pPr>
              <w:snapToGrid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3" w:hRule="exact"/>
          <w:jc w:val="center"/>
        </w:trPr>
        <w:tc>
          <w:tcPr>
            <w:tcW w:w="401" w:type="pct"/>
            <w:vAlign w:val="center"/>
          </w:tcPr>
          <w:p>
            <w:pPr>
              <w:snapToGrid w:val="0"/>
              <w:jc w:val="center"/>
              <w:rPr>
                <w:rFonts w:eastAsia="楷体_GB2312"/>
                <w:sz w:val="24"/>
              </w:rPr>
            </w:pPr>
            <w:r>
              <w:rPr>
                <w:rFonts w:eastAsia="楷体_GB2312"/>
                <w:sz w:val="24"/>
              </w:rPr>
              <w:t>9.4</w:t>
            </w:r>
          </w:p>
        </w:tc>
        <w:tc>
          <w:tcPr>
            <w:tcW w:w="3035" w:type="pct"/>
            <w:vAlign w:val="center"/>
          </w:tcPr>
          <w:p>
            <w:pPr>
              <w:snapToGrid w:val="0"/>
              <w:rPr>
                <w:rFonts w:eastAsia="楷体_GB2312"/>
                <w:sz w:val="24"/>
              </w:rPr>
            </w:pPr>
            <w:r>
              <w:rPr>
                <w:rFonts w:eastAsia="楷体_GB2312"/>
                <w:sz w:val="24"/>
              </w:rPr>
              <w:t>长期提供设备相关的专业技术培训及提供与设备相关的最新资讯。</w:t>
            </w:r>
          </w:p>
        </w:tc>
        <w:tc>
          <w:tcPr>
            <w:tcW w:w="791" w:type="pct"/>
            <w:vAlign w:val="center"/>
          </w:tcPr>
          <w:p>
            <w:pPr>
              <w:snapToGrid w:val="0"/>
              <w:jc w:val="center"/>
              <w:rPr>
                <w:rFonts w:eastAsia="楷体_GB2312"/>
                <w:sz w:val="24"/>
              </w:rPr>
            </w:pPr>
            <w:r>
              <w:rPr>
                <w:rFonts w:eastAsia="楷体_GB2312"/>
                <w:sz w:val="24"/>
              </w:rPr>
              <w:t>必需</w:t>
            </w:r>
          </w:p>
        </w:tc>
        <w:tc>
          <w:tcPr>
            <w:tcW w:w="773" w:type="pct"/>
          </w:tcPr>
          <w:p>
            <w:pPr>
              <w:snapToGrid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4" w:hRule="exact"/>
          <w:jc w:val="center"/>
        </w:trPr>
        <w:tc>
          <w:tcPr>
            <w:tcW w:w="401" w:type="pct"/>
            <w:vAlign w:val="center"/>
          </w:tcPr>
          <w:p>
            <w:pPr>
              <w:snapToGrid w:val="0"/>
              <w:jc w:val="center"/>
              <w:rPr>
                <w:rFonts w:eastAsia="楷体_GB2312"/>
                <w:sz w:val="24"/>
              </w:rPr>
            </w:pPr>
            <w:r>
              <w:rPr>
                <w:rFonts w:eastAsia="楷体_GB2312"/>
                <w:sz w:val="24"/>
              </w:rPr>
              <w:t>9.5</w:t>
            </w:r>
          </w:p>
        </w:tc>
        <w:tc>
          <w:tcPr>
            <w:tcW w:w="3035" w:type="pct"/>
            <w:vAlign w:val="center"/>
          </w:tcPr>
          <w:p>
            <w:pPr>
              <w:snapToGrid w:val="0"/>
              <w:rPr>
                <w:rFonts w:eastAsia="楷体_GB2312"/>
                <w:sz w:val="24"/>
              </w:rPr>
            </w:pPr>
            <w:r>
              <w:rPr>
                <w:rFonts w:eastAsia="楷体_GB2312"/>
                <w:sz w:val="24"/>
              </w:rPr>
              <w:t>提供设备回访及大、中、小检修服务。</w:t>
            </w:r>
          </w:p>
        </w:tc>
        <w:tc>
          <w:tcPr>
            <w:tcW w:w="791" w:type="pct"/>
            <w:vAlign w:val="center"/>
          </w:tcPr>
          <w:p>
            <w:pPr>
              <w:snapToGrid w:val="0"/>
              <w:jc w:val="center"/>
              <w:rPr>
                <w:rFonts w:eastAsia="楷体_GB2312"/>
                <w:sz w:val="24"/>
              </w:rPr>
            </w:pPr>
            <w:r>
              <w:rPr>
                <w:rFonts w:eastAsia="楷体_GB2312"/>
                <w:sz w:val="24"/>
              </w:rPr>
              <w:t>必需</w:t>
            </w:r>
          </w:p>
        </w:tc>
        <w:tc>
          <w:tcPr>
            <w:tcW w:w="773" w:type="pct"/>
          </w:tcPr>
          <w:p>
            <w:pPr>
              <w:snapToGrid w:val="0"/>
              <w:jc w:val="center"/>
              <w:rPr>
                <w:rFonts w:eastAsia="楷体_GB2312"/>
                <w:sz w:val="24"/>
              </w:rPr>
            </w:pPr>
          </w:p>
        </w:tc>
      </w:tr>
    </w:tbl>
    <w:p>
      <w:pPr>
        <w:pStyle w:val="13"/>
        <w:spacing w:line="560" w:lineRule="atLeast"/>
        <w:jc w:val="left"/>
        <w:outlineLvl w:val="0"/>
        <w:rPr>
          <w:rFonts w:hint="eastAsia" w:ascii="黑体" w:hAnsi="黑体" w:eastAsia="黑体"/>
          <w:bCs/>
          <w:sz w:val="32"/>
          <w:szCs w:val="18"/>
        </w:rPr>
      </w:pPr>
    </w:p>
    <w:p>
      <w:pPr>
        <w:pStyle w:val="13"/>
        <w:spacing w:line="560" w:lineRule="atLeast"/>
        <w:outlineLvl w:val="0"/>
        <w:rPr>
          <w:rFonts w:hint="eastAsia" w:ascii="黑体" w:hAnsi="黑体" w:eastAsia="黑体"/>
          <w:bCs/>
          <w:sz w:val="32"/>
          <w:szCs w:val="18"/>
        </w:rPr>
      </w:pPr>
      <w:r>
        <w:rPr>
          <w:rFonts w:hint="eastAsia" w:ascii="Times New Roman" w:hAnsi="Times New Roman"/>
          <w:szCs w:val="21"/>
        </w:rPr>
        <w:drawing>
          <wp:anchor distT="0" distB="0" distL="114300" distR="114300" simplePos="0" relativeHeight="251660288" behindDoc="0" locked="0" layoutInCell="1" allowOverlap="1">
            <wp:simplePos x="0" y="0"/>
            <wp:positionH relativeFrom="column">
              <wp:posOffset>496570</wp:posOffset>
            </wp:positionH>
            <wp:positionV relativeFrom="paragraph">
              <wp:posOffset>393700</wp:posOffset>
            </wp:positionV>
            <wp:extent cx="2390775" cy="1831340"/>
            <wp:effectExtent l="0" t="0" r="0" b="0"/>
            <wp:wrapNone/>
            <wp:docPr id="1" name="图片 1" descr="200g塑碗尺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0g塑碗尺寸"/>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390775" cy="1831340"/>
                    </a:xfrm>
                    <a:prstGeom prst="rect">
                      <a:avLst/>
                    </a:prstGeom>
                    <a:noFill/>
                    <a:ln>
                      <a:noFill/>
                    </a:ln>
                  </pic:spPr>
                </pic:pic>
              </a:graphicData>
            </a:graphic>
          </wp:anchor>
        </w:drawing>
      </w:r>
      <w:r>
        <w:rPr>
          <w:rFonts w:hint="eastAsia" w:ascii="黑体" w:hAnsi="黑体" w:eastAsia="黑体"/>
          <w:bCs/>
          <w:sz w:val="32"/>
          <w:szCs w:val="18"/>
        </w:rPr>
        <w:t>附件1：塑碗尺寸图</w:t>
      </w:r>
    </w:p>
    <w:p>
      <w:pPr>
        <w:pStyle w:val="13"/>
        <w:ind w:firstLine="1260" w:firstLineChars="600"/>
        <w:outlineLvl w:val="0"/>
        <w:rPr>
          <w:rFonts w:ascii="Times New Roman" w:hAnsi="Times New Roman"/>
          <w:szCs w:val="21"/>
        </w:rPr>
      </w:pPr>
    </w:p>
    <w:p>
      <w:pPr>
        <w:pStyle w:val="13"/>
        <w:ind w:firstLine="1260" w:firstLineChars="600"/>
        <w:outlineLvl w:val="0"/>
        <w:rPr>
          <w:rFonts w:ascii="Times New Roman" w:hAnsi="Times New Roman"/>
          <w:szCs w:val="21"/>
        </w:rPr>
      </w:pPr>
    </w:p>
    <w:p>
      <w:pPr>
        <w:pStyle w:val="13"/>
        <w:ind w:firstLine="1260" w:firstLineChars="600"/>
        <w:outlineLvl w:val="0"/>
        <w:rPr>
          <w:rFonts w:ascii="Times New Roman" w:hAnsi="Times New Roman"/>
          <w:szCs w:val="21"/>
        </w:rPr>
      </w:pPr>
    </w:p>
    <w:p>
      <w:pPr>
        <w:pStyle w:val="13"/>
        <w:ind w:firstLine="1260" w:firstLineChars="600"/>
        <w:outlineLvl w:val="0"/>
        <w:rPr>
          <w:rFonts w:ascii="Times New Roman" w:hAnsi="Times New Roman"/>
          <w:sz w:val="28"/>
          <w:szCs w:val="28"/>
        </w:rPr>
      </w:pPr>
      <w:r>
        <w:rPr>
          <w:rFonts w:hint="eastAsia" w:ascii="Times New Roman" w:hAnsi="Times New Roman"/>
          <w:szCs w:val="21"/>
        </w:rPr>
        <w:t xml:space="preserve">                                      </w:t>
      </w:r>
      <w:bookmarkStart w:id="32" w:name="_Hlk200118376"/>
      <w:r>
        <w:rPr>
          <w:rFonts w:hint="eastAsia" w:ascii="Times New Roman" w:hAnsi="Times New Roman"/>
          <w:sz w:val="28"/>
          <w:szCs w:val="28"/>
        </w:rPr>
        <w:t>（</w:t>
      </w:r>
      <w:r>
        <w:rPr>
          <w:rFonts w:hint="eastAsia" w:ascii="Times New Roman" w:hAnsi="Times New Roman"/>
          <w:sz w:val="28"/>
          <w:szCs w:val="36"/>
        </w:rPr>
        <w:t>180g塑碗</w:t>
      </w:r>
      <w:r>
        <w:rPr>
          <w:rFonts w:hint="eastAsia" w:ascii="Times New Roman" w:hAnsi="Times New Roman"/>
          <w:sz w:val="28"/>
          <w:szCs w:val="28"/>
        </w:rPr>
        <w:t>）</w:t>
      </w:r>
      <w:bookmarkEnd w:id="32"/>
    </w:p>
    <w:p>
      <w:pPr>
        <w:pStyle w:val="13"/>
        <w:ind w:firstLine="1260" w:firstLineChars="600"/>
        <w:outlineLvl w:val="0"/>
        <w:rPr>
          <w:rFonts w:ascii="Times New Roman" w:hAnsi="Times New Roman"/>
          <w:szCs w:val="21"/>
        </w:rPr>
      </w:pPr>
    </w:p>
    <w:p>
      <w:pPr>
        <w:pStyle w:val="13"/>
        <w:ind w:firstLine="1260" w:firstLineChars="600"/>
        <w:outlineLvl w:val="0"/>
        <w:rPr>
          <w:rFonts w:ascii="Times New Roman" w:hAnsi="Times New Roman"/>
          <w:szCs w:val="21"/>
        </w:rPr>
      </w:pPr>
    </w:p>
    <w:p>
      <w:pPr>
        <w:pStyle w:val="13"/>
        <w:ind w:firstLine="1260" w:firstLineChars="600"/>
        <w:outlineLvl w:val="0"/>
        <w:rPr>
          <w:rFonts w:ascii="Times New Roman" w:hAnsi="Times New Roman"/>
          <w:szCs w:val="21"/>
        </w:rPr>
      </w:pPr>
    </w:p>
    <w:p>
      <w:pPr>
        <w:pStyle w:val="13"/>
        <w:ind w:firstLine="1260" w:firstLineChars="600"/>
        <w:outlineLvl w:val="0"/>
        <w:rPr>
          <w:rFonts w:ascii="Times New Roman" w:hAnsi="Times New Roman"/>
          <w:szCs w:val="21"/>
        </w:rPr>
      </w:pPr>
      <w:r>
        <w:rPr>
          <w:rFonts w:hint="eastAsia" w:ascii="Times New Roman" w:hAnsi="Times New Roman"/>
          <w:szCs w:val="21"/>
        </w:rPr>
        <w:drawing>
          <wp:anchor distT="0" distB="0" distL="114300" distR="114300" simplePos="0" relativeHeight="251661312" behindDoc="0" locked="0" layoutInCell="1" allowOverlap="1">
            <wp:simplePos x="0" y="0"/>
            <wp:positionH relativeFrom="column">
              <wp:posOffset>496570</wp:posOffset>
            </wp:positionH>
            <wp:positionV relativeFrom="paragraph">
              <wp:posOffset>230505</wp:posOffset>
            </wp:positionV>
            <wp:extent cx="3176270" cy="1898015"/>
            <wp:effectExtent l="0" t="0" r="0" b="0"/>
            <wp:wrapNone/>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176270" cy="1898015"/>
                    </a:xfrm>
                    <a:prstGeom prst="rect">
                      <a:avLst/>
                    </a:prstGeom>
                    <a:noFill/>
                    <a:ln>
                      <a:noFill/>
                    </a:ln>
                  </pic:spPr>
                </pic:pic>
              </a:graphicData>
            </a:graphic>
          </wp:anchor>
        </w:drawing>
      </w:r>
    </w:p>
    <w:p>
      <w:pPr>
        <w:pStyle w:val="13"/>
        <w:ind w:firstLine="1260" w:firstLineChars="600"/>
        <w:outlineLvl w:val="0"/>
        <w:rPr>
          <w:rFonts w:ascii="Times New Roman" w:hAnsi="Times New Roman"/>
          <w:szCs w:val="21"/>
        </w:rPr>
      </w:pPr>
    </w:p>
    <w:p>
      <w:pPr>
        <w:pStyle w:val="13"/>
        <w:ind w:firstLine="1260" w:firstLineChars="600"/>
        <w:outlineLvl w:val="0"/>
        <w:rPr>
          <w:rFonts w:ascii="Times New Roman" w:hAnsi="Times New Roman"/>
          <w:szCs w:val="21"/>
        </w:rPr>
      </w:pPr>
    </w:p>
    <w:p>
      <w:pPr>
        <w:pStyle w:val="13"/>
        <w:ind w:firstLine="1260" w:firstLineChars="600"/>
        <w:outlineLvl w:val="0"/>
        <w:rPr>
          <w:rFonts w:ascii="Times New Roman" w:hAnsi="Times New Roman"/>
          <w:szCs w:val="21"/>
        </w:rPr>
      </w:pPr>
    </w:p>
    <w:p>
      <w:pPr>
        <w:pStyle w:val="13"/>
        <w:ind w:firstLine="1260" w:firstLineChars="600"/>
        <w:outlineLvl w:val="0"/>
        <w:rPr>
          <w:rFonts w:ascii="Times New Roman" w:hAnsi="Times New Roman"/>
          <w:szCs w:val="21"/>
        </w:rPr>
      </w:pPr>
    </w:p>
    <w:p>
      <w:pPr>
        <w:pStyle w:val="13"/>
        <w:ind w:firstLine="1260" w:firstLineChars="600"/>
        <w:outlineLvl w:val="0"/>
        <w:rPr>
          <w:rFonts w:ascii="Times New Roman" w:hAnsi="Times New Roman"/>
          <w:szCs w:val="21"/>
        </w:rPr>
      </w:pPr>
      <w:r>
        <w:rPr>
          <w:rFonts w:hint="eastAsia" w:ascii="Times New Roman" w:hAnsi="Times New Roman"/>
          <w:szCs w:val="21"/>
        </w:rPr>
        <w:t xml:space="preserve">                                                 </w:t>
      </w:r>
      <w:r>
        <w:rPr>
          <w:rFonts w:hint="eastAsia" w:ascii="Times New Roman" w:hAnsi="Times New Roman"/>
          <w:sz w:val="28"/>
          <w:szCs w:val="28"/>
        </w:rPr>
        <w:t>（</w:t>
      </w:r>
      <w:r>
        <w:rPr>
          <w:rFonts w:hint="eastAsia" w:ascii="Times New Roman" w:hAnsi="Times New Roman"/>
          <w:sz w:val="28"/>
          <w:szCs w:val="36"/>
        </w:rPr>
        <w:t>200g塑碗</w:t>
      </w:r>
      <w:r>
        <w:rPr>
          <w:rFonts w:hint="eastAsia" w:ascii="Times New Roman" w:hAnsi="Times New Roman"/>
          <w:sz w:val="28"/>
          <w:szCs w:val="28"/>
        </w:rPr>
        <w:t>）</w:t>
      </w:r>
    </w:p>
    <w:p>
      <w:pPr>
        <w:pStyle w:val="13"/>
        <w:ind w:firstLine="1260" w:firstLineChars="600"/>
        <w:jc w:val="left"/>
        <w:outlineLvl w:val="0"/>
        <w:rPr>
          <w:rFonts w:ascii="Times New Roman" w:hAnsi="Times New Roman"/>
          <w:szCs w:val="21"/>
        </w:rPr>
      </w:pPr>
    </w:p>
    <w:p>
      <w:pPr>
        <w:pStyle w:val="13"/>
        <w:jc w:val="left"/>
        <w:outlineLvl w:val="0"/>
        <w:rPr>
          <w:rFonts w:ascii="Times New Roman" w:hAnsi="Times New Roman"/>
          <w:szCs w:val="24"/>
        </w:rPr>
      </w:pPr>
    </w:p>
    <w:p>
      <w:pPr>
        <w:pStyle w:val="13"/>
        <w:jc w:val="left"/>
        <w:outlineLvl w:val="0"/>
        <w:rPr>
          <w:rFonts w:hint="eastAsia" w:ascii="黑体" w:hAnsi="黑体" w:eastAsia="黑体"/>
          <w:bCs/>
          <w:sz w:val="32"/>
          <w:szCs w:val="32"/>
        </w:rPr>
      </w:pPr>
      <w:r>
        <w:rPr>
          <w:rFonts w:hint="eastAsia" w:ascii="黑体" w:hAnsi="黑体" w:eastAsia="黑体"/>
          <w:bCs/>
          <w:sz w:val="32"/>
          <w:szCs w:val="32"/>
        </w:rPr>
        <w:t>附件2：塑料篮尺寸图</w:t>
      </w:r>
    </w:p>
    <w:p>
      <w:pPr>
        <w:pStyle w:val="13"/>
        <w:jc w:val="left"/>
        <w:outlineLvl w:val="0"/>
        <w:rPr>
          <w:rFonts w:ascii="Times New Roman" w:hAnsi="Times New Roman" w:eastAsia="仿宋_GB2312"/>
          <w:sz w:val="24"/>
          <w:szCs w:val="32"/>
        </w:rPr>
      </w:pPr>
      <w:r>
        <w:rPr>
          <w:rFonts w:ascii="Times New Roman" w:hAnsi="Times New Roman" w:eastAsia="仿宋_GB2312"/>
          <w:sz w:val="24"/>
          <w:szCs w:val="32"/>
        </w:rPr>
        <w:t>外规格：495*355*270mm   内规格：460*320*260</w:t>
      </w:r>
    </w:p>
    <w:p>
      <w:pPr>
        <w:pStyle w:val="13"/>
        <w:jc w:val="left"/>
        <w:outlineLvl w:val="0"/>
        <w:rPr>
          <w:rFonts w:ascii="Times New Roman" w:hAnsi="Times New Roman"/>
          <w:b/>
          <w:sz w:val="36"/>
        </w:rPr>
      </w:pPr>
      <w:r>
        <w:rPr>
          <w:rFonts w:ascii="Times New Roman" w:hAnsi="Times New Roman"/>
          <w:b/>
          <w:sz w:val="36"/>
        </w:rPr>
        <w:drawing>
          <wp:anchor distT="0" distB="0" distL="114300" distR="114300" simplePos="0" relativeHeight="251662336" behindDoc="0" locked="0" layoutInCell="1" allowOverlap="1">
            <wp:simplePos x="0" y="0"/>
            <wp:positionH relativeFrom="column">
              <wp:posOffset>1270</wp:posOffset>
            </wp:positionH>
            <wp:positionV relativeFrom="paragraph">
              <wp:posOffset>114935</wp:posOffset>
            </wp:positionV>
            <wp:extent cx="3044825" cy="2613025"/>
            <wp:effectExtent l="0" t="0" r="0" b="0"/>
            <wp:wrapNone/>
            <wp:docPr id="8934124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412416"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044825" cy="2613025"/>
                    </a:xfrm>
                    <a:prstGeom prst="rect">
                      <a:avLst/>
                    </a:prstGeom>
                    <a:noFill/>
                    <a:ln>
                      <a:noFill/>
                    </a:ln>
                  </pic:spPr>
                </pic:pic>
              </a:graphicData>
            </a:graphic>
          </wp:anchor>
        </w:drawing>
      </w:r>
    </w:p>
    <w:p>
      <w:pPr>
        <w:pStyle w:val="13"/>
        <w:jc w:val="left"/>
        <w:outlineLvl w:val="0"/>
        <w:rPr>
          <w:rFonts w:ascii="Times New Roman" w:hAnsi="Times New Roman"/>
          <w:b/>
          <w:sz w:val="36"/>
        </w:rPr>
      </w:pPr>
    </w:p>
    <w:p>
      <w:pPr>
        <w:pStyle w:val="13"/>
        <w:jc w:val="left"/>
        <w:outlineLvl w:val="0"/>
        <w:rPr>
          <w:rFonts w:ascii="Times New Roman" w:hAnsi="Times New Roman"/>
          <w:b/>
          <w:sz w:val="36"/>
        </w:rPr>
      </w:pPr>
    </w:p>
    <w:p>
      <w:pPr>
        <w:pStyle w:val="13"/>
        <w:jc w:val="left"/>
        <w:outlineLvl w:val="0"/>
        <w:rPr>
          <w:rFonts w:ascii="Times New Roman" w:hAnsi="Times New Roman"/>
          <w:b/>
          <w:sz w:val="36"/>
        </w:rPr>
      </w:pPr>
    </w:p>
    <w:p>
      <w:pPr>
        <w:pStyle w:val="13"/>
        <w:jc w:val="left"/>
        <w:outlineLvl w:val="0"/>
        <w:rPr>
          <w:rFonts w:ascii="Times New Roman" w:hAnsi="Times New Roman"/>
          <w:b/>
          <w:sz w:val="36"/>
        </w:rPr>
      </w:pPr>
    </w:p>
    <w:p>
      <w:pPr>
        <w:pStyle w:val="13"/>
        <w:jc w:val="left"/>
        <w:outlineLvl w:val="0"/>
        <w:rPr>
          <w:rFonts w:ascii="Times New Roman" w:hAnsi="Times New Roman"/>
          <w:b/>
          <w:sz w:val="36"/>
        </w:rPr>
      </w:pPr>
    </w:p>
    <w:p>
      <w:pPr>
        <w:pStyle w:val="13"/>
        <w:jc w:val="left"/>
        <w:outlineLvl w:val="0"/>
        <w:rPr>
          <w:rFonts w:ascii="Times New Roman" w:hAnsi="Times New Roman"/>
          <w:b/>
          <w:sz w:val="36"/>
        </w:rPr>
      </w:pPr>
    </w:p>
    <w:bookmarkEnd w:id="12"/>
    <w:p>
      <w:pPr>
        <w:pStyle w:val="13"/>
        <w:jc w:val="left"/>
        <w:outlineLvl w:val="0"/>
        <w:rPr>
          <w:rFonts w:hint="eastAsia" w:ascii="黑体" w:hAnsi="黑体" w:eastAsia="黑体"/>
          <w:bCs/>
          <w:sz w:val="32"/>
          <w:szCs w:val="18"/>
        </w:rPr>
      </w:pPr>
      <w:r>
        <w:rPr>
          <w:rFonts w:ascii="黑体" w:hAnsi="黑体" w:eastAsia="黑体"/>
          <w:bCs/>
          <w:sz w:val="32"/>
          <w:szCs w:val="18"/>
        </w:rPr>
        <w:t>附件</w:t>
      </w:r>
      <w:r>
        <w:rPr>
          <w:rFonts w:hint="eastAsia" w:ascii="黑体" w:hAnsi="黑体" w:eastAsia="黑体"/>
          <w:bCs/>
          <w:sz w:val="32"/>
          <w:szCs w:val="18"/>
        </w:rPr>
        <w:t>3</w:t>
      </w:r>
      <w:r>
        <w:rPr>
          <w:rFonts w:ascii="黑体" w:hAnsi="黑体" w:eastAsia="黑体"/>
          <w:bCs/>
          <w:sz w:val="32"/>
          <w:szCs w:val="18"/>
        </w:rPr>
        <w:t>：设备安装场地图（圆圈内）</w:t>
      </w:r>
    </w:p>
    <w:p>
      <w:pPr>
        <w:pStyle w:val="13"/>
        <w:jc w:val="left"/>
        <w:outlineLvl w:val="0"/>
        <w:rPr>
          <w:rFonts w:ascii="Times New Roman" w:hAnsi="Times New Roman"/>
          <w:b/>
          <w:sz w:val="36"/>
        </w:rPr>
      </w:pPr>
      <w:r>
        <w:rPr>
          <w:rFonts w:ascii="Times New Roman" w:hAnsi="Times New Roman"/>
        </w:rPr>
        <w:drawing>
          <wp:anchor distT="0" distB="0" distL="114300" distR="114300" simplePos="0" relativeHeight="251663360" behindDoc="0" locked="0" layoutInCell="1" allowOverlap="1">
            <wp:simplePos x="0" y="0"/>
            <wp:positionH relativeFrom="column">
              <wp:posOffset>1270</wp:posOffset>
            </wp:positionH>
            <wp:positionV relativeFrom="paragraph">
              <wp:posOffset>170815</wp:posOffset>
            </wp:positionV>
            <wp:extent cx="3248660" cy="2166620"/>
            <wp:effectExtent l="0" t="0" r="0" b="0"/>
            <wp:wrapNone/>
            <wp:docPr id="9512945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294585" name="图片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248660" cy="2166620"/>
                    </a:xfrm>
                    <a:prstGeom prst="rect">
                      <a:avLst/>
                    </a:prstGeom>
                  </pic:spPr>
                </pic:pic>
              </a:graphicData>
            </a:graphic>
          </wp:anchor>
        </w:drawing>
      </w:r>
    </w:p>
    <w:p>
      <w:pPr>
        <w:pStyle w:val="13"/>
        <w:jc w:val="left"/>
        <w:outlineLvl w:val="0"/>
        <w:rPr>
          <w:rFonts w:ascii="Times New Roman" w:hAnsi="Times New Roman"/>
          <w:b/>
          <w:sz w:val="36"/>
        </w:rPr>
      </w:pPr>
    </w:p>
    <w:p>
      <w:pPr>
        <w:pStyle w:val="13"/>
        <w:jc w:val="left"/>
        <w:outlineLvl w:val="0"/>
        <w:rPr>
          <w:rFonts w:ascii="Times New Roman" w:hAnsi="Times New Roman"/>
          <w:b/>
          <w:sz w:val="36"/>
        </w:rPr>
      </w:pPr>
    </w:p>
    <w:p>
      <w:pPr>
        <w:pStyle w:val="13"/>
        <w:jc w:val="left"/>
        <w:outlineLvl w:val="0"/>
        <w:rPr>
          <w:rFonts w:ascii="Times New Roman" w:hAnsi="Times New Roman"/>
          <w:b/>
          <w:sz w:val="36"/>
        </w:rPr>
      </w:pPr>
    </w:p>
    <w:p>
      <w:pPr>
        <w:pStyle w:val="13"/>
        <w:jc w:val="left"/>
        <w:outlineLvl w:val="0"/>
        <w:rPr>
          <w:rFonts w:ascii="Times New Roman" w:hAnsi="Times New Roman"/>
          <w:b/>
          <w:sz w:val="36"/>
        </w:rPr>
      </w:pPr>
    </w:p>
    <w:p>
      <w:pPr>
        <w:pStyle w:val="13"/>
        <w:jc w:val="left"/>
        <w:outlineLvl w:val="0"/>
        <w:rPr>
          <w:rFonts w:ascii="Times New Roman" w:hAnsi="Times New Roman"/>
          <w:b/>
          <w:sz w:val="36"/>
        </w:rPr>
      </w:pPr>
    </w:p>
    <w:bookmarkEnd w:id="13"/>
    <w:bookmarkEnd w:id="14"/>
    <w:bookmarkEnd w:id="15"/>
    <w:bookmarkEnd w:id="16"/>
    <w:p>
      <w:pPr>
        <w:pStyle w:val="13"/>
        <w:jc w:val="center"/>
        <w:outlineLvl w:val="0"/>
        <w:rPr>
          <w:rFonts w:ascii="Times New Roman" w:hAnsi="Times New Roman"/>
          <w:b/>
          <w:sz w:val="36"/>
        </w:rPr>
      </w:pPr>
      <w:bookmarkStart w:id="33" w:name="_Toc519678419"/>
    </w:p>
    <w:p>
      <w:pPr>
        <w:pStyle w:val="13"/>
        <w:jc w:val="center"/>
        <w:outlineLvl w:val="0"/>
        <w:rPr>
          <w:rFonts w:ascii="Times New Roman" w:hAnsi="Times New Roman"/>
          <w:b/>
          <w:sz w:val="36"/>
        </w:rPr>
      </w:pPr>
    </w:p>
    <w:p>
      <w:pPr>
        <w:pStyle w:val="13"/>
        <w:jc w:val="center"/>
        <w:outlineLvl w:val="0"/>
        <w:rPr>
          <w:rFonts w:ascii="Times New Roman" w:hAnsi="Times New Roman"/>
          <w:b/>
          <w:sz w:val="36"/>
        </w:rPr>
      </w:pPr>
    </w:p>
    <w:p>
      <w:pPr>
        <w:pStyle w:val="13"/>
        <w:jc w:val="center"/>
        <w:outlineLvl w:val="0"/>
        <w:rPr>
          <w:rFonts w:ascii="方正小标宋简体" w:hAnsi="Times New Roman" w:eastAsia="方正小标宋简体"/>
          <w:bCs/>
          <w:sz w:val="44"/>
          <w:szCs w:val="44"/>
        </w:rPr>
      </w:pPr>
      <w:r>
        <w:rPr>
          <w:rFonts w:hint="eastAsia" w:ascii="方正小标宋简体" w:hAnsi="Times New Roman" w:eastAsia="方正小标宋简体"/>
          <w:bCs/>
          <w:sz w:val="44"/>
          <w:szCs w:val="44"/>
        </w:rPr>
        <w:t>第三章  评审办法</w:t>
      </w:r>
      <w:bookmarkEnd w:id="33"/>
    </w:p>
    <w:p>
      <w:pPr>
        <w:pStyle w:val="83"/>
        <w:adjustRightInd w:val="0"/>
        <w:snapToGrid w:val="0"/>
        <w:spacing w:afterLines="0"/>
        <w:ind w:firstLine="0" w:firstLineChars="0"/>
        <w:jc w:val="center"/>
        <w:rPr>
          <w:rFonts w:hint="eastAsia" w:ascii="方正小标宋简体" w:hAnsi="黑体" w:eastAsia="方正小标宋简体" w:cs="宋体"/>
          <w:b w:val="0"/>
          <w:bCs/>
          <w:sz w:val="44"/>
          <w:szCs w:val="44"/>
        </w:rPr>
      </w:pPr>
      <w:r>
        <w:rPr>
          <w:rFonts w:hint="eastAsia" w:ascii="方正小标宋简体" w:hAnsi="黑体" w:eastAsia="方正小标宋简体" w:cs="宋体"/>
          <w:b w:val="0"/>
          <w:bCs/>
          <w:sz w:val="44"/>
          <w:szCs w:val="44"/>
        </w:rPr>
        <w:t>评审办法前附表</w:t>
      </w:r>
    </w:p>
    <w:tbl>
      <w:tblPr>
        <w:tblStyle w:val="28"/>
        <w:tblW w:w="9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710"/>
        <w:gridCol w:w="6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993" w:type="dxa"/>
            <w:vAlign w:val="center"/>
          </w:tcPr>
          <w:p>
            <w:pPr>
              <w:spacing w:line="380" w:lineRule="exact"/>
              <w:jc w:val="center"/>
              <w:rPr>
                <w:rFonts w:ascii="楷体_GB2312" w:eastAsia="楷体_GB2312" w:cs="宋体"/>
                <w:b/>
                <w:sz w:val="24"/>
              </w:rPr>
            </w:pPr>
            <w:bookmarkStart w:id="34" w:name="_Toc401396863"/>
            <w:r>
              <w:rPr>
                <w:rFonts w:hint="eastAsia" w:ascii="楷体_GB2312" w:eastAsia="楷体_GB2312" w:cs="宋体"/>
                <w:b/>
                <w:sz w:val="24"/>
              </w:rPr>
              <w:t>条款号</w:t>
            </w:r>
          </w:p>
        </w:tc>
        <w:tc>
          <w:tcPr>
            <w:tcW w:w="1710" w:type="dxa"/>
            <w:vAlign w:val="center"/>
          </w:tcPr>
          <w:p>
            <w:pPr>
              <w:spacing w:line="380" w:lineRule="exact"/>
              <w:jc w:val="center"/>
              <w:rPr>
                <w:rFonts w:ascii="楷体_GB2312" w:eastAsia="楷体_GB2312" w:cs="宋体"/>
                <w:b/>
                <w:sz w:val="24"/>
              </w:rPr>
            </w:pPr>
            <w:r>
              <w:rPr>
                <w:rFonts w:hint="eastAsia" w:ascii="楷体_GB2312" w:eastAsia="楷体_GB2312" w:cs="宋体"/>
                <w:b/>
                <w:sz w:val="24"/>
              </w:rPr>
              <w:t>评审因素</w:t>
            </w:r>
          </w:p>
        </w:tc>
        <w:tc>
          <w:tcPr>
            <w:tcW w:w="6443" w:type="dxa"/>
            <w:vAlign w:val="center"/>
          </w:tcPr>
          <w:p>
            <w:pPr>
              <w:spacing w:line="380" w:lineRule="exact"/>
              <w:jc w:val="center"/>
              <w:rPr>
                <w:rFonts w:ascii="楷体_GB2312" w:eastAsia="楷体_GB2312" w:cs="宋体"/>
                <w:b/>
                <w:sz w:val="24"/>
              </w:rPr>
            </w:pPr>
            <w:r>
              <w:rPr>
                <w:rFonts w:hint="eastAsia" w:ascii="楷体_GB2312" w:eastAsia="楷体_GB2312" w:cs="宋体"/>
                <w:b/>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4" w:hRule="atLeast"/>
          <w:jc w:val="center"/>
        </w:trPr>
        <w:tc>
          <w:tcPr>
            <w:tcW w:w="993" w:type="dxa"/>
            <w:vAlign w:val="center"/>
          </w:tcPr>
          <w:p>
            <w:pPr>
              <w:spacing w:line="380" w:lineRule="exact"/>
              <w:jc w:val="center"/>
              <w:rPr>
                <w:rFonts w:eastAsia="楷体_GB2312"/>
                <w:bCs/>
                <w:sz w:val="24"/>
              </w:rPr>
            </w:pPr>
            <w:r>
              <w:rPr>
                <w:rFonts w:eastAsia="楷体_GB2312"/>
                <w:bCs/>
                <w:sz w:val="24"/>
              </w:rPr>
              <w:t>1</w:t>
            </w:r>
          </w:p>
        </w:tc>
        <w:tc>
          <w:tcPr>
            <w:tcW w:w="1710" w:type="dxa"/>
            <w:vAlign w:val="center"/>
          </w:tcPr>
          <w:p>
            <w:pPr>
              <w:spacing w:line="380" w:lineRule="exact"/>
              <w:jc w:val="center"/>
              <w:rPr>
                <w:rFonts w:eastAsia="楷体_GB2312"/>
                <w:bCs/>
                <w:sz w:val="24"/>
              </w:rPr>
            </w:pPr>
            <w:r>
              <w:rPr>
                <w:rFonts w:eastAsia="楷体_GB2312"/>
                <w:bCs/>
                <w:sz w:val="24"/>
              </w:rPr>
              <w:t>评审方法</w:t>
            </w:r>
          </w:p>
        </w:tc>
        <w:tc>
          <w:tcPr>
            <w:tcW w:w="6443" w:type="dxa"/>
            <w:vAlign w:val="center"/>
          </w:tcPr>
          <w:p>
            <w:pPr>
              <w:spacing w:line="380" w:lineRule="exact"/>
              <w:jc w:val="left"/>
              <w:rPr>
                <w:rFonts w:eastAsia="楷体_GB2312"/>
                <w:bCs/>
                <w:sz w:val="24"/>
              </w:rPr>
            </w:pPr>
            <w:r>
              <w:rPr>
                <w:rFonts w:eastAsia="楷体_GB2312"/>
                <w:bCs/>
                <w:sz w:val="24"/>
              </w:rPr>
              <w:t>评审方法采用综合评估法。</w:t>
            </w:r>
          </w:p>
          <w:p>
            <w:pPr>
              <w:spacing w:line="380" w:lineRule="exact"/>
              <w:jc w:val="left"/>
              <w:rPr>
                <w:rFonts w:eastAsia="楷体_GB2312"/>
                <w:bCs/>
                <w:sz w:val="24"/>
              </w:rPr>
            </w:pPr>
            <w:r>
              <w:rPr>
                <w:rFonts w:eastAsia="楷体_GB2312"/>
                <w:bCs/>
                <w:sz w:val="24"/>
              </w:rPr>
              <w:t>最终得分相等时，以评审价格低的优先；评审价格也相等的，以技术得分高的优先；如果技术得分也相等，以供应商业绩从多到少排序；若业绩仍相同，以供应商上一年度净利润从多到少排序。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14" w:hRule="atLeast"/>
          <w:jc w:val="center"/>
        </w:trPr>
        <w:tc>
          <w:tcPr>
            <w:tcW w:w="993" w:type="dxa"/>
            <w:vAlign w:val="center"/>
          </w:tcPr>
          <w:p>
            <w:pPr>
              <w:spacing w:line="380" w:lineRule="exact"/>
              <w:jc w:val="center"/>
              <w:rPr>
                <w:rFonts w:eastAsia="楷体_GB2312"/>
                <w:bCs/>
                <w:sz w:val="24"/>
              </w:rPr>
            </w:pPr>
            <w:r>
              <w:rPr>
                <w:rFonts w:eastAsia="楷体_GB2312"/>
                <w:bCs/>
                <w:sz w:val="24"/>
              </w:rPr>
              <w:t>2.1</w:t>
            </w:r>
          </w:p>
        </w:tc>
        <w:tc>
          <w:tcPr>
            <w:tcW w:w="1710" w:type="dxa"/>
            <w:vAlign w:val="center"/>
          </w:tcPr>
          <w:p>
            <w:pPr>
              <w:spacing w:line="380" w:lineRule="exact"/>
              <w:jc w:val="center"/>
              <w:rPr>
                <w:rFonts w:eastAsia="楷体_GB2312"/>
                <w:bCs/>
                <w:sz w:val="24"/>
              </w:rPr>
            </w:pPr>
            <w:r>
              <w:rPr>
                <w:rFonts w:eastAsia="楷体_GB2312"/>
                <w:bCs/>
                <w:sz w:val="24"/>
              </w:rPr>
              <w:t>初步评审（形式评审标准、资格评审标准、响应性评审标准）</w:t>
            </w:r>
          </w:p>
        </w:tc>
        <w:tc>
          <w:tcPr>
            <w:tcW w:w="6443" w:type="dxa"/>
            <w:vAlign w:val="center"/>
          </w:tcPr>
          <w:p>
            <w:pPr>
              <w:spacing w:line="380" w:lineRule="exact"/>
              <w:jc w:val="left"/>
              <w:rPr>
                <w:rFonts w:eastAsia="楷体_GB2312"/>
                <w:bCs/>
                <w:sz w:val="24"/>
              </w:rPr>
            </w:pPr>
            <w:r>
              <w:rPr>
                <w:rFonts w:eastAsia="楷体_GB2312"/>
                <w:bCs/>
                <w:sz w:val="24"/>
              </w:rPr>
              <w:t>（1）供应商资格条件满足采购文件要求（以询价比选采购公告规定的供应商资格条件为准）；</w:t>
            </w:r>
          </w:p>
          <w:p>
            <w:pPr>
              <w:spacing w:line="380" w:lineRule="exact"/>
              <w:jc w:val="left"/>
              <w:rPr>
                <w:rFonts w:eastAsia="楷体_GB2312"/>
                <w:bCs/>
                <w:sz w:val="24"/>
              </w:rPr>
            </w:pPr>
            <w:r>
              <w:rPr>
                <w:rFonts w:eastAsia="楷体_GB2312"/>
                <w:bCs/>
                <w:sz w:val="24"/>
              </w:rPr>
              <w:t>（2）供应商按采购文件要求足额提交响应保证金（若采购文件未规定提交响应保证金，则本条不适用）；</w:t>
            </w:r>
          </w:p>
          <w:p>
            <w:pPr>
              <w:spacing w:line="380" w:lineRule="exact"/>
              <w:jc w:val="left"/>
              <w:rPr>
                <w:rFonts w:eastAsia="楷体_GB2312"/>
                <w:bCs/>
                <w:sz w:val="24"/>
              </w:rPr>
            </w:pPr>
            <w:r>
              <w:rPr>
                <w:rFonts w:eastAsia="楷体_GB2312"/>
                <w:bCs/>
                <w:sz w:val="24"/>
              </w:rPr>
              <w:t>（3）</w:t>
            </w:r>
            <w:r>
              <w:rPr>
                <w:rFonts w:eastAsia="楷体_GB2312"/>
                <w:bCs/>
                <w:color w:val="000000"/>
                <w:sz w:val="24"/>
              </w:rPr>
              <w:t>响应文件经供应商盖单位公章（或单位电子印章）</w:t>
            </w:r>
            <w:r>
              <w:rPr>
                <w:rFonts w:eastAsia="楷体_GB2312"/>
                <w:bCs/>
                <w:sz w:val="24"/>
              </w:rPr>
              <w:t>；</w:t>
            </w:r>
          </w:p>
          <w:p>
            <w:pPr>
              <w:spacing w:line="380" w:lineRule="exact"/>
              <w:jc w:val="left"/>
              <w:rPr>
                <w:rFonts w:eastAsia="楷体_GB2312"/>
                <w:bCs/>
                <w:sz w:val="24"/>
              </w:rPr>
            </w:pPr>
            <w:r>
              <w:rPr>
                <w:rFonts w:eastAsia="楷体_GB2312"/>
                <w:bCs/>
                <w:sz w:val="24"/>
              </w:rPr>
              <w:t>（4）同一供应商未提交两个以上不同的响应文件或者竞标报价（采购文件要求提交备选方案的除外）；</w:t>
            </w:r>
          </w:p>
          <w:p>
            <w:pPr>
              <w:spacing w:line="380" w:lineRule="exact"/>
              <w:jc w:val="left"/>
              <w:rPr>
                <w:rFonts w:eastAsia="楷体_GB2312"/>
                <w:bCs/>
                <w:sz w:val="24"/>
              </w:rPr>
            </w:pPr>
            <w:r>
              <w:rPr>
                <w:rFonts w:eastAsia="楷体_GB2312"/>
                <w:bCs/>
                <w:sz w:val="24"/>
              </w:rPr>
              <w:t>（5）响应文件无重大技术偏离或商务偏离；</w:t>
            </w:r>
          </w:p>
          <w:p>
            <w:pPr>
              <w:spacing w:line="380" w:lineRule="exact"/>
              <w:jc w:val="left"/>
              <w:rPr>
                <w:rFonts w:eastAsia="楷体_GB2312"/>
                <w:bCs/>
                <w:sz w:val="24"/>
              </w:rPr>
            </w:pPr>
            <w:r>
              <w:rPr>
                <w:rFonts w:eastAsia="楷体_GB2312"/>
                <w:bCs/>
                <w:sz w:val="24"/>
              </w:rPr>
              <w:t>（6）响应文件无采购人不能接受的附加条件；</w:t>
            </w:r>
          </w:p>
          <w:p>
            <w:pPr>
              <w:spacing w:line="380" w:lineRule="exact"/>
              <w:jc w:val="left"/>
              <w:rPr>
                <w:rFonts w:eastAsia="楷体_GB2312"/>
                <w:bCs/>
                <w:sz w:val="24"/>
              </w:rPr>
            </w:pPr>
            <w:r>
              <w:rPr>
                <w:rFonts w:eastAsia="楷体_GB2312"/>
                <w:bCs/>
                <w:sz w:val="24"/>
              </w:rPr>
              <w:t>（7）供应商竞标报价未超出最高限价（若采购文件未规定最高限价，则本条不适用）；</w:t>
            </w:r>
          </w:p>
          <w:p>
            <w:pPr>
              <w:spacing w:line="380" w:lineRule="exact"/>
              <w:jc w:val="left"/>
              <w:rPr>
                <w:rFonts w:eastAsia="楷体_GB2312"/>
                <w:bCs/>
                <w:sz w:val="24"/>
              </w:rPr>
            </w:pPr>
            <w:r>
              <w:rPr>
                <w:rFonts w:eastAsia="楷体_GB2312"/>
                <w:bCs/>
                <w:sz w:val="24"/>
              </w:rPr>
              <w:t>（8）供应商无采购文件规定的其他否决条款。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4" w:hRule="atLeast"/>
          <w:jc w:val="center"/>
        </w:trPr>
        <w:tc>
          <w:tcPr>
            <w:tcW w:w="993" w:type="dxa"/>
            <w:vAlign w:val="center"/>
          </w:tcPr>
          <w:p>
            <w:pPr>
              <w:spacing w:line="380" w:lineRule="exact"/>
              <w:jc w:val="center"/>
              <w:rPr>
                <w:rFonts w:eastAsia="楷体_GB2312"/>
                <w:bCs/>
                <w:sz w:val="24"/>
              </w:rPr>
            </w:pPr>
            <w:r>
              <w:rPr>
                <w:rFonts w:eastAsia="楷体_GB2312"/>
                <w:bCs/>
                <w:sz w:val="24"/>
              </w:rPr>
              <w:t>3.2</w:t>
            </w:r>
          </w:p>
        </w:tc>
        <w:tc>
          <w:tcPr>
            <w:tcW w:w="1710" w:type="dxa"/>
            <w:vAlign w:val="center"/>
          </w:tcPr>
          <w:p>
            <w:pPr>
              <w:jc w:val="center"/>
              <w:rPr>
                <w:rFonts w:eastAsia="楷体_GB2312"/>
                <w:bCs/>
                <w:sz w:val="24"/>
              </w:rPr>
            </w:pPr>
            <w:r>
              <w:rPr>
                <w:rFonts w:eastAsia="楷体_GB2312"/>
                <w:bCs/>
                <w:sz w:val="24"/>
              </w:rPr>
              <w:t>分值构成</w:t>
            </w:r>
          </w:p>
          <w:p>
            <w:pPr>
              <w:jc w:val="center"/>
              <w:rPr>
                <w:rFonts w:eastAsia="楷体_GB2312"/>
                <w:bCs/>
                <w:sz w:val="24"/>
              </w:rPr>
            </w:pPr>
            <w:r>
              <w:rPr>
                <w:rFonts w:eastAsia="楷体_GB2312"/>
                <w:bCs/>
                <w:sz w:val="24"/>
              </w:rPr>
              <w:t>（总分 100 分）</w:t>
            </w:r>
          </w:p>
        </w:tc>
        <w:tc>
          <w:tcPr>
            <w:tcW w:w="6443" w:type="dxa"/>
            <w:vAlign w:val="center"/>
          </w:tcPr>
          <w:p>
            <w:pPr>
              <w:spacing w:line="380" w:lineRule="exact"/>
              <w:jc w:val="left"/>
              <w:rPr>
                <w:rFonts w:eastAsia="楷体_GB2312"/>
                <w:bCs/>
                <w:sz w:val="24"/>
                <w:szCs w:val="22"/>
              </w:rPr>
            </w:pPr>
            <w:r>
              <w:rPr>
                <w:rFonts w:eastAsia="楷体_GB2312"/>
                <w:bCs/>
                <w:sz w:val="24"/>
                <w:szCs w:val="22"/>
              </w:rPr>
              <w:t>（1）商务部分：100分，权重10%。</w:t>
            </w:r>
          </w:p>
          <w:p>
            <w:pPr>
              <w:spacing w:line="380" w:lineRule="exact"/>
              <w:jc w:val="left"/>
              <w:rPr>
                <w:rFonts w:eastAsia="楷体_GB2312"/>
                <w:bCs/>
                <w:sz w:val="24"/>
                <w:szCs w:val="22"/>
              </w:rPr>
            </w:pPr>
            <w:r>
              <w:rPr>
                <w:rFonts w:eastAsia="楷体_GB2312"/>
                <w:bCs/>
                <w:sz w:val="24"/>
                <w:szCs w:val="22"/>
              </w:rPr>
              <w:t>（2）技术部分：100分，权重40%。</w:t>
            </w:r>
          </w:p>
          <w:p>
            <w:pPr>
              <w:spacing w:line="380" w:lineRule="exact"/>
              <w:jc w:val="left"/>
              <w:rPr>
                <w:rFonts w:eastAsia="楷体_GB2312"/>
                <w:bCs/>
              </w:rPr>
            </w:pPr>
            <w:r>
              <w:rPr>
                <w:rFonts w:eastAsia="楷体_GB2312"/>
                <w:bCs/>
                <w:sz w:val="24"/>
                <w:szCs w:val="22"/>
              </w:rPr>
              <w:t>（3）价格部分：100分，权重50%。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3" w:hRule="atLeast"/>
          <w:jc w:val="center"/>
        </w:trPr>
        <w:tc>
          <w:tcPr>
            <w:tcW w:w="993" w:type="dxa"/>
            <w:vAlign w:val="center"/>
          </w:tcPr>
          <w:p>
            <w:pPr>
              <w:spacing w:line="380" w:lineRule="exact"/>
              <w:jc w:val="center"/>
              <w:rPr>
                <w:rFonts w:eastAsia="楷体_GB2312"/>
                <w:bCs/>
                <w:sz w:val="24"/>
              </w:rPr>
            </w:pPr>
            <w:r>
              <w:rPr>
                <w:rFonts w:eastAsia="楷体_GB2312"/>
                <w:bCs/>
                <w:sz w:val="24"/>
              </w:rPr>
              <w:t>3.2.2</w:t>
            </w:r>
          </w:p>
        </w:tc>
        <w:tc>
          <w:tcPr>
            <w:tcW w:w="1710" w:type="dxa"/>
            <w:vAlign w:val="center"/>
          </w:tcPr>
          <w:p>
            <w:pPr>
              <w:jc w:val="center"/>
              <w:rPr>
                <w:rFonts w:eastAsia="楷体_GB2312"/>
                <w:bCs/>
                <w:sz w:val="24"/>
              </w:rPr>
            </w:pPr>
            <w:r>
              <w:rPr>
                <w:rFonts w:eastAsia="楷体_GB2312"/>
                <w:bCs/>
                <w:sz w:val="24"/>
              </w:rPr>
              <w:t>商务评分标准</w:t>
            </w:r>
          </w:p>
        </w:tc>
        <w:tc>
          <w:tcPr>
            <w:tcW w:w="6443" w:type="dxa"/>
            <w:vAlign w:val="center"/>
          </w:tcPr>
          <w:p>
            <w:pPr>
              <w:widowControl/>
              <w:jc w:val="left"/>
              <w:rPr>
                <w:rFonts w:eastAsia="楷体_GB2312"/>
                <w:bCs/>
                <w:sz w:val="24"/>
              </w:rPr>
            </w:pPr>
            <w:r>
              <w:rPr>
                <w:rFonts w:eastAsia="楷体_GB2312"/>
                <w:bCs/>
                <w:sz w:val="24"/>
              </w:rPr>
              <w:t>详见附件一：商务评审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4" w:hRule="atLeast"/>
          <w:jc w:val="center"/>
        </w:trPr>
        <w:tc>
          <w:tcPr>
            <w:tcW w:w="993" w:type="dxa"/>
            <w:vAlign w:val="center"/>
          </w:tcPr>
          <w:p>
            <w:pPr>
              <w:spacing w:line="380" w:lineRule="exact"/>
              <w:jc w:val="center"/>
              <w:rPr>
                <w:rFonts w:eastAsia="楷体_GB2312"/>
                <w:bCs/>
                <w:sz w:val="24"/>
              </w:rPr>
            </w:pPr>
            <w:r>
              <w:rPr>
                <w:rFonts w:eastAsia="楷体_GB2312"/>
                <w:bCs/>
                <w:sz w:val="24"/>
              </w:rPr>
              <w:t>3.2.2</w:t>
            </w:r>
          </w:p>
        </w:tc>
        <w:tc>
          <w:tcPr>
            <w:tcW w:w="1710" w:type="dxa"/>
            <w:vAlign w:val="center"/>
          </w:tcPr>
          <w:p>
            <w:pPr>
              <w:jc w:val="center"/>
              <w:rPr>
                <w:rFonts w:eastAsia="楷体_GB2312"/>
                <w:bCs/>
                <w:sz w:val="24"/>
              </w:rPr>
            </w:pPr>
            <w:r>
              <w:rPr>
                <w:rFonts w:eastAsia="楷体_GB2312"/>
                <w:bCs/>
                <w:sz w:val="24"/>
              </w:rPr>
              <w:t>技术评分标准</w:t>
            </w:r>
          </w:p>
        </w:tc>
        <w:tc>
          <w:tcPr>
            <w:tcW w:w="6443" w:type="dxa"/>
            <w:vAlign w:val="center"/>
          </w:tcPr>
          <w:p>
            <w:pPr>
              <w:jc w:val="left"/>
              <w:rPr>
                <w:rFonts w:eastAsia="楷体_GB2312"/>
                <w:bCs/>
                <w:sz w:val="24"/>
              </w:rPr>
            </w:pPr>
            <w:r>
              <w:rPr>
                <w:rFonts w:eastAsia="楷体_GB2312"/>
                <w:bCs/>
                <w:sz w:val="24"/>
              </w:rPr>
              <w:t>详见附件二：技术评审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4" w:hRule="atLeast"/>
          <w:jc w:val="center"/>
        </w:trPr>
        <w:tc>
          <w:tcPr>
            <w:tcW w:w="993" w:type="dxa"/>
            <w:vAlign w:val="center"/>
          </w:tcPr>
          <w:p>
            <w:pPr>
              <w:spacing w:line="380" w:lineRule="exact"/>
              <w:jc w:val="center"/>
              <w:rPr>
                <w:rFonts w:eastAsia="楷体_GB2312"/>
                <w:bCs/>
                <w:sz w:val="24"/>
              </w:rPr>
            </w:pPr>
            <w:r>
              <w:rPr>
                <w:rFonts w:eastAsia="楷体_GB2312"/>
                <w:bCs/>
                <w:sz w:val="24"/>
              </w:rPr>
              <w:t>3.2.2</w:t>
            </w:r>
          </w:p>
        </w:tc>
        <w:tc>
          <w:tcPr>
            <w:tcW w:w="1710" w:type="dxa"/>
            <w:vAlign w:val="center"/>
          </w:tcPr>
          <w:p>
            <w:pPr>
              <w:jc w:val="center"/>
              <w:rPr>
                <w:rFonts w:eastAsia="楷体_GB2312"/>
                <w:bCs/>
                <w:sz w:val="24"/>
              </w:rPr>
            </w:pPr>
            <w:r>
              <w:rPr>
                <w:rFonts w:eastAsia="楷体_GB2312"/>
                <w:bCs/>
                <w:sz w:val="24"/>
              </w:rPr>
              <w:t>报价评分标准</w:t>
            </w:r>
          </w:p>
        </w:tc>
        <w:tc>
          <w:tcPr>
            <w:tcW w:w="6443" w:type="dxa"/>
            <w:vAlign w:val="center"/>
          </w:tcPr>
          <w:p>
            <w:pPr>
              <w:rPr>
                <w:rFonts w:eastAsia="楷体_GB2312"/>
                <w:bCs/>
                <w:sz w:val="24"/>
              </w:rPr>
            </w:pPr>
            <w:r>
              <w:rPr>
                <w:rFonts w:eastAsia="楷体_GB2312"/>
                <w:bCs/>
                <w:sz w:val="24"/>
              </w:rPr>
              <w:t>详见附件三：报价评审</w:t>
            </w:r>
          </w:p>
        </w:tc>
      </w:tr>
      <w:bookmarkEnd w:id="3"/>
      <w:bookmarkEnd w:id="4"/>
      <w:bookmarkEnd w:id="34"/>
    </w:tbl>
    <w:p>
      <w:pPr>
        <w:pStyle w:val="3"/>
        <w:spacing w:before="0" w:after="0" w:line="560" w:lineRule="exact"/>
        <w:ind w:firstLine="643" w:firstLineChars="200"/>
        <w:rPr>
          <w:rFonts w:ascii="Times New Roman" w:hAnsi="Times New Roman" w:eastAsia="仿宋_GB2312"/>
        </w:rPr>
      </w:pPr>
      <w:bookmarkStart w:id="35" w:name="bookmark494"/>
      <w:bookmarkStart w:id="36" w:name="_Toc22696"/>
      <w:bookmarkStart w:id="37" w:name="bookmark492"/>
      <w:bookmarkStart w:id="38" w:name="_Toc8977"/>
      <w:bookmarkStart w:id="39" w:name="_Toc22054"/>
      <w:bookmarkStart w:id="40" w:name="bookmark493"/>
      <w:bookmarkStart w:id="41" w:name="_Toc8508"/>
      <w:bookmarkStart w:id="42" w:name="_Toc519678420"/>
      <w:bookmarkStart w:id="43" w:name="_Toc213206175"/>
      <w:bookmarkStart w:id="44" w:name="_Toc213325924"/>
      <w:r>
        <w:rPr>
          <w:rFonts w:ascii="Times New Roman" w:hAnsi="Times New Roman" w:eastAsia="仿宋_GB2312"/>
        </w:rPr>
        <w:t>1.评审方法</w:t>
      </w:r>
      <w:bookmarkEnd w:id="35"/>
      <w:bookmarkEnd w:id="36"/>
      <w:bookmarkEnd w:id="37"/>
      <w:bookmarkEnd w:id="38"/>
      <w:bookmarkEnd w:id="39"/>
      <w:bookmarkEnd w:id="40"/>
      <w:bookmarkEnd w:id="41"/>
    </w:p>
    <w:p>
      <w:pPr>
        <w:pStyle w:val="85"/>
        <w:adjustRightInd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本次评审采用综合评</w:t>
      </w:r>
      <w:r>
        <w:rPr>
          <w:rFonts w:ascii="Times New Roman" w:hAnsi="Times New Roman" w:eastAsia="仿宋_GB2312" w:cs="Times New Roman"/>
          <w:sz w:val="32"/>
          <w:szCs w:val="32"/>
          <w:lang w:val="en-US" w:eastAsia="zh-CN"/>
        </w:rPr>
        <w:t>估</w:t>
      </w:r>
      <w:r>
        <w:rPr>
          <w:rFonts w:ascii="Times New Roman" w:hAnsi="Times New Roman" w:eastAsia="仿宋_GB2312" w:cs="Times New Roman"/>
          <w:sz w:val="32"/>
          <w:szCs w:val="32"/>
        </w:rPr>
        <w:t>法。</w:t>
      </w:r>
      <w:r>
        <w:rPr>
          <w:rFonts w:ascii="Times New Roman" w:hAnsi="Times New Roman" w:eastAsia="仿宋_GB2312" w:cs="Times New Roman"/>
          <w:sz w:val="32"/>
          <w:szCs w:val="32"/>
          <w:lang w:val="en-US" w:eastAsia="zh-CN"/>
        </w:rPr>
        <w:t>评审</w:t>
      </w:r>
      <w:r>
        <w:rPr>
          <w:rFonts w:ascii="Times New Roman" w:hAnsi="Times New Roman" w:eastAsia="仿宋_GB2312" w:cs="Times New Roman"/>
          <w:sz w:val="32"/>
          <w:szCs w:val="32"/>
        </w:rPr>
        <w:t>小组对满足采购文件实质性要求的响应文件，按照本章第</w:t>
      </w:r>
      <w:r>
        <w:rPr>
          <w:rFonts w:ascii="Times New Roman" w:hAnsi="Times New Roman" w:eastAsia="仿宋_GB2312" w:cs="Times New Roman"/>
          <w:sz w:val="32"/>
          <w:szCs w:val="32"/>
          <w:lang w:val="en-US" w:eastAsia="zh-CN" w:bidi="en-US"/>
        </w:rPr>
        <w:t>3条</w:t>
      </w:r>
      <w:r>
        <w:rPr>
          <w:rFonts w:ascii="Times New Roman" w:hAnsi="Times New Roman" w:eastAsia="仿宋_GB2312" w:cs="Times New Roman"/>
          <w:sz w:val="32"/>
          <w:szCs w:val="32"/>
        </w:rPr>
        <w:t>规定的评分标准进行打分，并按得分由高到低的顺序推荐候选成交</w:t>
      </w:r>
      <w:r>
        <w:rPr>
          <w:rFonts w:ascii="Times New Roman" w:hAnsi="Times New Roman" w:eastAsia="仿宋_GB2312" w:cs="Times New Roman"/>
          <w:sz w:val="32"/>
          <w:szCs w:val="32"/>
          <w:lang w:eastAsia="zh-CN"/>
        </w:rPr>
        <w:t>供应商</w:t>
      </w:r>
      <w:r>
        <w:rPr>
          <w:rFonts w:ascii="Times New Roman" w:hAnsi="Times New Roman" w:eastAsia="仿宋_GB2312" w:cs="Times New Roman"/>
          <w:sz w:val="32"/>
          <w:szCs w:val="32"/>
        </w:rPr>
        <w:t>。</w:t>
      </w:r>
    </w:p>
    <w:p>
      <w:pPr>
        <w:pStyle w:val="3"/>
        <w:spacing w:before="0" w:after="0" w:line="560" w:lineRule="exact"/>
        <w:ind w:firstLine="643" w:firstLineChars="200"/>
        <w:rPr>
          <w:rFonts w:ascii="Times New Roman" w:hAnsi="Times New Roman" w:eastAsia="仿宋_GB2312"/>
        </w:rPr>
      </w:pPr>
      <w:bookmarkStart w:id="45" w:name="_Toc11607"/>
      <w:bookmarkStart w:id="46" w:name="_Toc30403"/>
      <w:bookmarkStart w:id="47" w:name="_Toc32168"/>
      <w:r>
        <w:rPr>
          <w:rFonts w:hint="eastAsia" w:ascii="Times New Roman" w:hAnsi="Times New Roman" w:eastAsia="仿宋_GB2312"/>
        </w:rPr>
        <w:t>2.</w:t>
      </w:r>
      <w:r>
        <w:rPr>
          <w:rFonts w:ascii="Times New Roman" w:hAnsi="Times New Roman" w:eastAsia="仿宋_GB2312"/>
        </w:rPr>
        <w:t>初步评审标准和程序</w:t>
      </w:r>
      <w:bookmarkEnd w:id="45"/>
      <w:bookmarkEnd w:id="46"/>
      <w:bookmarkEnd w:id="47"/>
    </w:p>
    <w:p>
      <w:pPr>
        <w:pStyle w:val="4"/>
        <w:spacing w:line="560" w:lineRule="exact"/>
        <w:jc w:val="left"/>
        <w:rPr>
          <w:rFonts w:eastAsia="仿宋_GB2312"/>
        </w:rPr>
      </w:pPr>
      <w:bookmarkStart w:id="48" w:name="_Toc10182"/>
      <w:bookmarkStart w:id="49" w:name="_Toc28885"/>
      <w:bookmarkStart w:id="50" w:name="bookmark505"/>
      <w:bookmarkStart w:id="51" w:name="_Toc2461"/>
      <w:bookmarkStart w:id="52" w:name="_Toc7400"/>
      <w:bookmarkStart w:id="53" w:name="bookmark506"/>
      <w:bookmarkStart w:id="54" w:name="bookmark504"/>
      <w:r>
        <w:rPr>
          <w:rFonts w:eastAsia="仿宋_GB2312"/>
        </w:rPr>
        <w:t>2.1 初步评审标准</w:t>
      </w:r>
      <w:bookmarkEnd w:id="48"/>
      <w:bookmarkEnd w:id="49"/>
      <w:bookmarkEnd w:id="50"/>
      <w:bookmarkEnd w:id="51"/>
      <w:bookmarkEnd w:id="52"/>
      <w:bookmarkEnd w:id="53"/>
      <w:bookmarkEnd w:id="54"/>
    </w:p>
    <w:p>
      <w:pPr>
        <w:pStyle w:val="85"/>
        <w:adjustRightInd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bidi="en-US"/>
        </w:rPr>
        <w:t xml:space="preserve">2.1.1 </w:t>
      </w:r>
      <w:r>
        <w:rPr>
          <w:rFonts w:ascii="Times New Roman" w:hAnsi="Times New Roman" w:eastAsia="仿宋_GB2312" w:cs="Times New Roman"/>
          <w:sz w:val="32"/>
          <w:szCs w:val="32"/>
        </w:rPr>
        <w:t>形式评审标准：见评审办法前附表。</w:t>
      </w:r>
    </w:p>
    <w:p>
      <w:pPr>
        <w:pStyle w:val="85"/>
        <w:adjustRightInd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bidi="en-US"/>
        </w:rPr>
        <w:t xml:space="preserve">2.1.2 </w:t>
      </w:r>
      <w:r>
        <w:rPr>
          <w:rFonts w:ascii="Times New Roman" w:hAnsi="Times New Roman" w:eastAsia="仿宋_GB2312" w:cs="Times New Roman"/>
          <w:sz w:val="32"/>
          <w:szCs w:val="32"/>
        </w:rPr>
        <w:t>资格评审标准：见评审办法前附表。</w:t>
      </w:r>
    </w:p>
    <w:p>
      <w:pPr>
        <w:pStyle w:val="85"/>
        <w:tabs>
          <w:tab w:val="left" w:pos="354"/>
        </w:tabs>
        <w:adjustRightInd w:val="0"/>
        <w:spacing w:line="560" w:lineRule="exact"/>
        <w:ind w:firstLine="640" w:firstLineChars="200"/>
        <w:jc w:val="left"/>
        <w:rPr>
          <w:rFonts w:ascii="Times New Roman" w:hAnsi="Times New Roman" w:eastAsia="仿宋_GB2312" w:cs="Times New Roman"/>
          <w:sz w:val="32"/>
          <w:szCs w:val="32"/>
        </w:rPr>
      </w:pPr>
      <w:bookmarkStart w:id="55" w:name="bookmark507"/>
      <w:bookmarkEnd w:id="55"/>
      <w:r>
        <w:rPr>
          <w:rFonts w:ascii="Times New Roman" w:hAnsi="Times New Roman" w:eastAsia="仿宋_GB2312" w:cs="Times New Roman"/>
          <w:sz w:val="32"/>
          <w:szCs w:val="32"/>
          <w:lang w:val="en-US" w:eastAsia="zh-CN" w:bidi="en-US"/>
        </w:rPr>
        <w:t xml:space="preserve">2.1.3 </w:t>
      </w:r>
      <w:r>
        <w:rPr>
          <w:rFonts w:ascii="Times New Roman" w:hAnsi="Times New Roman" w:eastAsia="仿宋_GB2312" w:cs="Times New Roman"/>
          <w:sz w:val="32"/>
          <w:szCs w:val="32"/>
        </w:rPr>
        <w:t>响应性评审标准：见评审办法前附表。</w:t>
      </w:r>
    </w:p>
    <w:p>
      <w:pPr>
        <w:pStyle w:val="4"/>
        <w:spacing w:line="560" w:lineRule="exact"/>
        <w:jc w:val="left"/>
        <w:rPr>
          <w:rFonts w:eastAsia="仿宋_GB2312"/>
        </w:rPr>
      </w:pPr>
      <w:bookmarkStart w:id="56" w:name="_Toc13646"/>
      <w:bookmarkStart w:id="57" w:name="_Toc26329"/>
      <w:bookmarkStart w:id="58" w:name="bookmark508"/>
      <w:bookmarkStart w:id="59" w:name="bookmark509"/>
      <w:bookmarkStart w:id="60" w:name="_Toc1019"/>
      <w:bookmarkStart w:id="61" w:name="_Toc83"/>
      <w:bookmarkStart w:id="62" w:name="bookmark510"/>
      <w:r>
        <w:rPr>
          <w:rFonts w:eastAsia="仿宋_GB2312"/>
        </w:rPr>
        <w:t>2.2 初步评审程序</w:t>
      </w:r>
      <w:bookmarkEnd w:id="56"/>
      <w:bookmarkEnd w:id="57"/>
      <w:bookmarkEnd w:id="58"/>
      <w:bookmarkEnd w:id="59"/>
      <w:bookmarkEnd w:id="60"/>
      <w:bookmarkEnd w:id="61"/>
      <w:bookmarkEnd w:id="62"/>
    </w:p>
    <w:p>
      <w:pPr>
        <w:pStyle w:val="85"/>
        <w:tabs>
          <w:tab w:val="left" w:pos="354"/>
        </w:tabs>
        <w:adjustRightInd w:val="0"/>
        <w:spacing w:line="560" w:lineRule="exact"/>
        <w:ind w:firstLine="640" w:firstLineChars="200"/>
        <w:jc w:val="left"/>
        <w:rPr>
          <w:rFonts w:ascii="Times New Roman" w:hAnsi="Times New Roman" w:eastAsia="仿宋_GB2312" w:cs="Times New Roman"/>
          <w:sz w:val="32"/>
          <w:szCs w:val="32"/>
        </w:rPr>
      </w:pPr>
      <w:bookmarkStart w:id="63" w:name="bookmark511"/>
      <w:bookmarkEnd w:id="63"/>
      <w:r>
        <w:rPr>
          <w:rFonts w:ascii="Times New Roman" w:hAnsi="Times New Roman" w:eastAsia="仿宋_GB2312" w:cs="Times New Roman"/>
          <w:sz w:val="32"/>
          <w:szCs w:val="32"/>
          <w:lang w:val="en-US" w:eastAsia="zh-CN" w:bidi="en-US"/>
        </w:rPr>
        <w:t>2.2.</w:t>
      </w:r>
      <w:r>
        <w:rPr>
          <w:rFonts w:ascii="Times New Roman" w:hAnsi="Times New Roman" w:eastAsia="仿宋_GB2312" w:cs="Times New Roman"/>
          <w:sz w:val="32"/>
          <w:szCs w:val="32"/>
        </w:rPr>
        <w:t>1</w:t>
      </w:r>
      <w:r>
        <w:rPr>
          <w:rFonts w:ascii="Times New Roman" w:hAnsi="Times New Roman" w:eastAsia="仿宋_GB2312" w:cs="Times New Roman"/>
          <w:sz w:val="32"/>
          <w:szCs w:val="32"/>
          <w:lang w:val="en-US" w:eastAsia="zh-CN"/>
        </w:rPr>
        <w:t xml:space="preserve"> 评审</w:t>
      </w:r>
      <w:r>
        <w:rPr>
          <w:rFonts w:ascii="Times New Roman" w:hAnsi="Times New Roman" w:eastAsia="仿宋_GB2312" w:cs="Times New Roman"/>
          <w:sz w:val="32"/>
          <w:szCs w:val="32"/>
        </w:rPr>
        <w:t>小组依据本章第</w:t>
      </w:r>
      <w:r>
        <w:rPr>
          <w:rFonts w:ascii="Times New Roman" w:hAnsi="Times New Roman" w:eastAsia="仿宋_GB2312" w:cs="Times New Roman"/>
          <w:sz w:val="32"/>
          <w:szCs w:val="32"/>
          <w:lang w:val="en-US" w:eastAsia="zh-CN" w:bidi="en-US"/>
        </w:rPr>
        <w:t>2.</w:t>
      </w:r>
      <w:r>
        <w:rPr>
          <w:rFonts w:ascii="Times New Roman" w:hAnsi="Times New Roman" w:eastAsia="仿宋_GB2312" w:cs="Times New Roman"/>
          <w:sz w:val="32"/>
          <w:szCs w:val="32"/>
        </w:rPr>
        <w:t>1款规定的标准对</w:t>
      </w:r>
      <w:r>
        <w:rPr>
          <w:rFonts w:ascii="Times New Roman" w:hAnsi="Times New Roman" w:eastAsia="仿宋_GB2312" w:cs="Times New Roman"/>
          <w:sz w:val="32"/>
          <w:szCs w:val="32"/>
          <w:lang w:val="en-US" w:eastAsia="zh-CN"/>
        </w:rPr>
        <w:t>供应商</w:t>
      </w:r>
      <w:r>
        <w:rPr>
          <w:rFonts w:ascii="Times New Roman" w:hAnsi="Times New Roman" w:eastAsia="仿宋_GB2312" w:cs="Times New Roman"/>
          <w:sz w:val="32"/>
          <w:szCs w:val="32"/>
        </w:rPr>
        <w:t>递交的响应文件进行初步评审，判断响应文件的形式是否符合要求、</w:t>
      </w:r>
      <w:r>
        <w:rPr>
          <w:rFonts w:ascii="Times New Roman" w:hAnsi="Times New Roman" w:eastAsia="仿宋_GB2312" w:cs="Times New Roman"/>
          <w:sz w:val="32"/>
          <w:szCs w:val="32"/>
          <w:lang w:val="en-US" w:eastAsia="zh-CN"/>
        </w:rPr>
        <w:t>供应商</w:t>
      </w:r>
      <w:r>
        <w:rPr>
          <w:rFonts w:ascii="Times New Roman" w:hAnsi="Times New Roman" w:eastAsia="仿宋_GB2312" w:cs="Times New Roman"/>
          <w:sz w:val="32"/>
          <w:szCs w:val="32"/>
        </w:rPr>
        <w:t>是否符合资格条件、响应文件是否实质性响应采购文件的要求。只有以上评审合格的响应文件才可通过初步评审。</w:t>
      </w:r>
    </w:p>
    <w:p>
      <w:pPr>
        <w:spacing w:line="560" w:lineRule="exact"/>
        <w:ind w:firstLine="640" w:firstLineChars="200"/>
        <w:jc w:val="left"/>
        <w:rPr>
          <w:rFonts w:eastAsia="仿宋_GB2312"/>
          <w:sz w:val="32"/>
          <w:szCs w:val="32"/>
          <w:lang w:bidi="en-US"/>
        </w:rPr>
      </w:pPr>
      <w:r>
        <w:rPr>
          <w:rFonts w:eastAsia="仿宋_GB2312"/>
          <w:sz w:val="32"/>
          <w:szCs w:val="32"/>
          <w:lang w:bidi="en-US"/>
        </w:rPr>
        <w:t xml:space="preserve">2.2.2 </w:t>
      </w:r>
      <w:bookmarkStart w:id="64" w:name="bookmark512"/>
      <w:bookmarkEnd w:id="64"/>
      <w:bookmarkStart w:id="65" w:name="_Toc12111"/>
      <w:bookmarkStart w:id="66" w:name="bookmark514"/>
      <w:bookmarkStart w:id="67" w:name="bookmark515"/>
      <w:bookmarkStart w:id="68" w:name="bookmark513"/>
      <w:r>
        <w:rPr>
          <w:rFonts w:eastAsia="仿宋_GB2312"/>
          <w:sz w:val="32"/>
          <w:szCs w:val="32"/>
          <w:lang w:bidi="en-US"/>
        </w:rPr>
        <w:t>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spacing w:line="560" w:lineRule="exact"/>
        <w:ind w:firstLine="640" w:firstLineChars="200"/>
        <w:jc w:val="left"/>
        <w:rPr>
          <w:rFonts w:eastAsia="仿宋_GB2312"/>
          <w:sz w:val="32"/>
          <w:szCs w:val="32"/>
          <w:lang w:bidi="en-US"/>
        </w:rPr>
      </w:pPr>
      <w:r>
        <w:rPr>
          <w:rFonts w:eastAsia="仿宋_GB2312"/>
          <w:sz w:val="32"/>
          <w:szCs w:val="32"/>
          <w:lang w:bidi="en-US"/>
        </w:rPr>
        <w:t>响应报价有算术错误或其他错误的，评审小组按以下原则要求供应商对响应报价进行修正，并要求供应商书面澄清确认。供应商拒不澄清确认的，其响应文件将被视为无效：</w:t>
      </w:r>
    </w:p>
    <w:p>
      <w:pPr>
        <w:spacing w:line="560" w:lineRule="exact"/>
        <w:ind w:firstLine="640" w:firstLineChars="200"/>
        <w:jc w:val="left"/>
        <w:rPr>
          <w:rFonts w:eastAsia="仿宋_GB2312"/>
          <w:sz w:val="32"/>
          <w:szCs w:val="32"/>
          <w:lang w:bidi="en-US"/>
        </w:rPr>
      </w:pPr>
      <w:r>
        <w:rPr>
          <w:rFonts w:eastAsia="仿宋_GB2312"/>
          <w:sz w:val="32"/>
          <w:szCs w:val="32"/>
          <w:lang w:bidi="en-US"/>
        </w:rPr>
        <w:t>（1）大写金额与小写金额不一致的，以大写金额为准；</w:t>
      </w:r>
    </w:p>
    <w:p>
      <w:pPr>
        <w:spacing w:line="560" w:lineRule="exact"/>
        <w:ind w:firstLine="640" w:firstLineChars="200"/>
        <w:jc w:val="left"/>
        <w:rPr>
          <w:rFonts w:eastAsia="仿宋_GB2312"/>
          <w:sz w:val="32"/>
          <w:szCs w:val="32"/>
          <w:lang w:bidi="en-US"/>
        </w:rPr>
      </w:pPr>
      <w:r>
        <w:rPr>
          <w:rFonts w:eastAsia="仿宋_GB2312"/>
          <w:sz w:val="32"/>
          <w:szCs w:val="32"/>
          <w:lang w:bidi="en-US"/>
        </w:rPr>
        <w:t>（2）总价金额与单价金额不一致的，以单价金额为准，但单价金额小数点有明显错误的除外；</w:t>
      </w:r>
    </w:p>
    <w:p>
      <w:pPr>
        <w:spacing w:line="560" w:lineRule="exact"/>
        <w:ind w:firstLine="640" w:firstLineChars="200"/>
        <w:jc w:val="left"/>
        <w:rPr>
          <w:rFonts w:eastAsia="仿宋_GB2312"/>
          <w:sz w:val="32"/>
          <w:szCs w:val="32"/>
          <w:lang w:bidi="en-US"/>
        </w:rPr>
      </w:pPr>
      <w:r>
        <w:rPr>
          <w:rFonts w:eastAsia="仿宋_GB2312"/>
          <w:sz w:val="32"/>
          <w:szCs w:val="32"/>
          <w:lang w:bidi="en-US"/>
        </w:rPr>
        <w:t>（3）报价表中合计报价与分项报价的合价不一致的，以各分项报价的合价累计数为准；</w:t>
      </w:r>
    </w:p>
    <w:p>
      <w:pPr>
        <w:spacing w:line="560" w:lineRule="exact"/>
        <w:ind w:firstLine="640" w:firstLineChars="200"/>
        <w:jc w:val="left"/>
        <w:rPr>
          <w:rFonts w:eastAsia="仿宋_GB2312"/>
          <w:sz w:val="32"/>
          <w:szCs w:val="32"/>
          <w:lang w:bidi="en-US"/>
        </w:rPr>
      </w:pPr>
      <w:r>
        <w:rPr>
          <w:rFonts w:eastAsia="仿宋_GB2312"/>
          <w:sz w:val="32"/>
          <w:szCs w:val="32"/>
          <w:lang w:bidi="en-US"/>
        </w:rPr>
        <w:t>（4）如果分项报价中存在缺漏项，且缺漏项内容不属于实质性偏差的，则视为缺漏项内容的价格已包含在其他分项报价之中。</w:t>
      </w:r>
    </w:p>
    <w:p>
      <w:pPr>
        <w:spacing w:line="560" w:lineRule="exact"/>
        <w:ind w:firstLine="640" w:firstLineChars="200"/>
        <w:jc w:val="left"/>
        <w:rPr>
          <w:rFonts w:eastAsia="仿宋_GB2312"/>
          <w:sz w:val="32"/>
          <w:szCs w:val="32"/>
          <w:lang w:bidi="en-US"/>
        </w:rPr>
      </w:pPr>
      <w:r>
        <w:rPr>
          <w:rFonts w:eastAsia="仿宋_GB2312"/>
          <w:sz w:val="32"/>
          <w:szCs w:val="32"/>
          <w:lang w:bidi="en-US"/>
        </w:rPr>
        <w:t>2.2.3 供应商有串通、弄虚作假、行贿等违法行为的，其响应文件将被视为无效。</w:t>
      </w:r>
    </w:p>
    <w:p>
      <w:pPr>
        <w:pStyle w:val="3"/>
        <w:spacing w:before="0" w:after="0" w:line="560" w:lineRule="exact"/>
        <w:ind w:firstLine="643" w:firstLineChars="200"/>
        <w:jc w:val="left"/>
        <w:rPr>
          <w:rFonts w:ascii="Times New Roman" w:hAnsi="Times New Roman" w:eastAsia="仿宋_GB2312"/>
        </w:rPr>
      </w:pPr>
      <w:bookmarkStart w:id="69" w:name="_Toc11744"/>
      <w:bookmarkStart w:id="70" w:name="_Toc16955"/>
      <w:bookmarkStart w:id="71" w:name="_Toc7056"/>
      <w:r>
        <w:rPr>
          <w:rFonts w:hint="eastAsia" w:ascii="Times New Roman" w:hAnsi="Times New Roman" w:eastAsia="仿宋_GB2312"/>
        </w:rPr>
        <w:t>3.</w:t>
      </w:r>
      <w:r>
        <w:rPr>
          <w:rFonts w:ascii="Times New Roman" w:hAnsi="Times New Roman" w:eastAsia="仿宋_GB2312"/>
        </w:rPr>
        <w:t>详细评审标准和程序</w:t>
      </w:r>
      <w:bookmarkEnd w:id="65"/>
      <w:bookmarkEnd w:id="66"/>
      <w:bookmarkEnd w:id="67"/>
      <w:bookmarkEnd w:id="68"/>
      <w:bookmarkEnd w:id="69"/>
      <w:bookmarkEnd w:id="70"/>
      <w:bookmarkEnd w:id="71"/>
      <w:bookmarkStart w:id="72" w:name="bookmark519"/>
      <w:bookmarkEnd w:id="72"/>
      <w:bookmarkStart w:id="73" w:name="bookmark522"/>
      <w:bookmarkEnd w:id="73"/>
      <w:bookmarkStart w:id="74" w:name="bookmark525"/>
      <w:bookmarkEnd w:id="74"/>
      <w:bookmarkStart w:id="75" w:name="bookmark524"/>
      <w:bookmarkEnd w:id="75"/>
      <w:bookmarkStart w:id="76" w:name="bookmark520"/>
      <w:bookmarkEnd w:id="76"/>
      <w:bookmarkStart w:id="77" w:name="bookmark523"/>
      <w:bookmarkEnd w:id="77"/>
      <w:bookmarkStart w:id="78" w:name="bookmark521"/>
      <w:bookmarkEnd w:id="78"/>
      <w:bookmarkStart w:id="79" w:name="_Toc11990"/>
      <w:bookmarkStart w:id="80" w:name="_Toc20865"/>
      <w:bookmarkStart w:id="81" w:name="_Toc12132"/>
    </w:p>
    <w:p>
      <w:pPr>
        <w:pStyle w:val="3"/>
        <w:spacing w:before="0" w:after="0" w:line="560" w:lineRule="exact"/>
        <w:ind w:firstLine="643" w:firstLineChars="200"/>
        <w:jc w:val="left"/>
        <w:rPr>
          <w:rFonts w:ascii="Times New Roman" w:hAnsi="Times New Roman" w:eastAsia="仿宋_GB2312"/>
        </w:rPr>
      </w:pPr>
      <w:r>
        <w:rPr>
          <w:rFonts w:ascii="Times New Roman" w:hAnsi="Times New Roman" w:eastAsia="仿宋_GB2312"/>
          <w:lang w:bidi="en-US"/>
        </w:rPr>
        <w:t>3.</w:t>
      </w:r>
      <w:r>
        <w:rPr>
          <w:rFonts w:ascii="Times New Roman" w:hAnsi="Times New Roman" w:eastAsia="仿宋_GB2312"/>
        </w:rPr>
        <w:t>1 分值构成</w:t>
      </w:r>
      <w:bookmarkEnd w:id="79"/>
      <w:bookmarkEnd w:id="80"/>
      <w:bookmarkEnd w:id="81"/>
      <w:bookmarkStart w:id="82" w:name="bookmark526"/>
      <w:bookmarkEnd w:id="82"/>
      <w:bookmarkStart w:id="83" w:name="bookmark527"/>
      <w:bookmarkEnd w:id="83"/>
    </w:p>
    <w:p>
      <w:pPr>
        <w:pStyle w:val="85"/>
        <w:tabs>
          <w:tab w:val="left" w:pos="986"/>
        </w:tabs>
        <w:adjustRightInd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商务部分：见评审办法前附表；</w:t>
      </w:r>
    </w:p>
    <w:p>
      <w:pPr>
        <w:pStyle w:val="85"/>
        <w:tabs>
          <w:tab w:val="left" w:pos="986"/>
        </w:tabs>
        <w:adjustRightInd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技术部分：见评审办法前附表；</w:t>
      </w:r>
    </w:p>
    <w:p>
      <w:pPr>
        <w:pStyle w:val="85"/>
        <w:tabs>
          <w:tab w:val="left" w:pos="986"/>
        </w:tabs>
        <w:adjustRightInd w:val="0"/>
        <w:spacing w:line="560" w:lineRule="exact"/>
        <w:ind w:firstLine="640" w:firstLineChars="200"/>
        <w:jc w:val="left"/>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报价</w:t>
      </w:r>
      <w:r>
        <w:rPr>
          <w:rFonts w:ascii="Times New Roman" w:hAnsi="Times New Roman" w:eastAsia="仿宋_GB2312" w:cs="Times New Roman"/>
          <w:sz w:val="32"/>
          <w:szCs w:val="32"/>
          <w:lang w:val="en-US" w:eastAsia="zh-CN"/>
        </w:rPr>
        <w:t>部分</w:t>
      </w:r>
      <w:r>
        <w:rPr>
          <w:rFonts w:ascii="Times New Roman" w:hAnsi="Times New Roman" w:eastAsia="仿宋_GB2312" w:cs="Times New Roman"/>
          <w:sz w:val="32"/>
          <w:szCs w:val="32"/>
        </w:rPr>
        <w:t>：见评审办法前附表</w:t>
      </w:r>
      <w:r>
        <w:rPr>
          <w:rFonts w:ascii="Times New Roman" w:hAnsi="Times New Roman" w:eastAsia="仿宋_GB2312" w:cs="Times New Roman"/>
          <w:sz w:val="32"/>
          <w:szCs w:val="32"/>
          <w:lang w:eastAsia="zh-CN"/>
        </w:rPr>
        <w:t>。</w:t>
      </w:r>
    </w:p>
    <w:p>
      <w:pPr>
        <w:pStyle w:val="4"/>
        <w:spacing w:line="560" w:lineRule="exact"/>
        <w:rPr>
          <w:rFonts w:eastAsia="仿宋_GB2312"/>
          <w:lang w:bidi="en-US"/>
        </w:rPr>
      </w:pPr>
      <w:bookmarkStart w:id="84" w:name="bookmark530"/>
      <w:bookmarkEnd w:id="84"/>
      <w:bookmarkStart w:id="85" w:name="bookmark531"/>
      <w:bookmarkEnd w:id="85"/>
      <w:bookmarkStart w:id="86" w:name="bookmark529"/>
      <w:bookmarkEnd w:id="86"/>
      <w:bookmarkStart w:id="87" w:name="_Toc16307"/>
      <w:bookmarkStart w:id="88" w:name="_Toc8267"/>
      <w:bookmarkStart w:id="89" w:name="_Toc1695"/>
      <w:r>
        <w:rPr>
          <w:rFonts w:eastAsia="仿宋_GB2312"/>
          <w:lang w:bidi="en-US"/>
        </w:rPr>
        <w:t>3.2 评分标准</w:t>
      </w:r>
      <w:bookmarkEnd w:id="87"/>
      <w:bookmarkEnd w:id="88"/>
      <w:bookmarkEnd w:id="89"/>
    </w:p>
    <w:p>
      <w:pPr>
        <w:pStyle w:val="85"/>
        <w:tabs>
          <w:tab w:val="left" w:pos="986"/>
        </w:tabs>
        <w:adjustRightInd w:val="0"/>
        <w:spacing w:line="560" w:lineRule="exact"/>
        <w:ind w:firstLine="640" w:firstLineChars="200"/>
        <w:jc w:val="left"/>
        <w:rPr>
          <w:rFonts w:ascii="Times New Roman" w:hAnsi="Times New Roman" w:eastAsia="仿宋_GB2312" w:cs="Times New Roman"/>
          <w:sz w:val="32"/>
          <w:szCs w:val="32"/>
        </w:rPr>
      </w:pPr>
      <w:bookmarkStart w:id="90" w:name="bookmark536"/>
      <w:bookmarkEnd w:id="90"/>
      <w:bookmarkStart w:id="91" w:name="bookmark535"/>
      <w:bookmarkEnd w:id="91"/>
      <w:bookmarkStart w:id="92" w:name="bookmark532"/>
      <w:bookmarkEnd w:id="92"/>
      <w:bookmarkStart w:id="93" w:name="bookmark537"/>
      <w:bookmarkEnd w:id="93"/>
      <w:bookmarkStart w:id="94" w:name="bookmark534"/>
      <w:bookmarkEnd w:id="94"/>
      <w:bookmarkStart w:id="95" w:name="bookmark533"/>
      <w:bookmarkEnd w:id="95"/>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商务部分：详见附件一：商务评审；</w:t>
      </w:r>
    </w:p>
    <w:p>
      <w:pPr>
        <w:pStyle w:val="85"/>
        <w:tabs>
          <w:tab w:val="left" w:pos="986"/>
        </w:tabs>
        <w:adjustRightInd w:val="0"/>
        <w:spacing w:line="560" w:lineRule="exact"/>
        <w:ind w:firstLine="640" w:firstLineChars="200"/>
        <w:jc w:val="left"/>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技术部分：详见附件二：技术评审</w:t>
      </w:r>
      <w:r>
        <w:rPr>
          <w:rFonts w:ascii="Times New Roman" w:hAnsi="Times New Roman" w:eastAsia="仿宋_GB2312" w:cs="Times New Roman"/>
          <w:sz w:val="32"/>
          <w:szCs w:val="32"/>
          <w:lang w:eastAsia="zh-CN"/>
        </w:rPr>
        <w:t>；</w:t>
      </w:r>
    </w:p>
    <w:p>
      <w:pPr>
        <w:pStyle w:val="85"/>
        <w:tabs>
          <w:tab w:val="left" w:pos="986"/>
        </w:tabs>
        <w:adjustRightInd w:val="0"/>
        <w:spacing w:line="560" w:lineRule="exact"/>
        <w:ind w:firstLine="640" w:firstLineChars="200"/>
        <w:jc w:val="left"/>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报价</w:t>
      </w:r>
      <w:r>
        <w:rPr>
          <w:rFonts w:ascii="Times New Roman" w:hAnsi="Times New Roman" w:eastAsia="仿宋_GB2312" w:cs="Times New Roman"/>
          <w:sz w:val="32"/>
          <w:szCs w:val="32"/>
          <w:lang w:val="en-US" w:eastAsia="zh-CN"/>
        </w:rPr>
        <w:t>部分</w:t>
      </w:r>
      <w:r>
        <w:rPr>
          <w:rFonts w:ascii="Times New Roman" w:hAnsi="Times New Roman" w:eastAsia="仿宋_GB2312" w:cs="Times New Roman"/>
          <w:sz w:val="32"/>
          <w:szCs w:val="32"/>
        </w:rPr>
        <w:t>：详见附件三：</w:t>
      </w:r>
      <w:r>
        <w:rPr>
          <w:rFonts w:ascii="Times New Roman" w:hAnsi="Times New Roman" w:eastAsia="仿宋_GB2312" w:cs="Times New Roman"/>
          <w:sz w:val="32"/>
          <w:szCs w:val="32"/>
          <w:lang w:val="en-US" w:eastAsia="zh-CN"/>
        </w:rPr>
        <w:t>报价</w:t>
      </w:r>
      <w:r>
        <w:rPr>
          <w:rFonts w:ascii="Times New Roman" w:hAnsi="Times New Roman" w:eastAsia="仿宋_GB2312" w:cs="Times New Roman"/>
          <w:sz w:val="32"/>
          <w:szCs w:val="32"/>
        </w:rPr>
        <w:t>评审</w:t>
      </w:r>
      <w:r>
        <w:rPr>
          <w:rFonts w:ascii="Times New Roman" w:hAnsi="Times New Roman" w:eastAsia="仿宋_GB2312" w:cs="Times New Roman"/>
          <w:sz w:val="32"/>
          <w:szCs w:val="32"/>
          <w:lang w:eastAsia="zh-CN"/>
        </w:rPr>
        <w:t>。</w:t>
      </w:r>
    </w:p>
    <w:p>
      <w:pPr>
        <w:pStyle w:val="4"/>
        <w:spacing w:line="560" w:lineRule="exact"/>
        <w:rPr>
          <w:rFonts w:eastAsia="仿宋_GB2312"/>
          <w:lang w:bidi="en-US"/>
        </w:rPr>
      </w:pPr>
      <w:bookmarkStart w:id="96" w:name="_Toc20542"/>
      <w:bookmarkStart w:id="97" w:name="_Toc15223"/>
      <w:bookmarkStart w:id="98" w:name="_Toc2016"/>
      <w:r>
        <w:rPr>
          <w:rFonts w:eastAsia="仿宋_GB2312"/>
          <w:lang w:bidi="en-US"/>
        </w:rPr>
        <w:t>3.3评分</w:t>
      </w:r>
      <w:bookmarkEnd w:id="96"/>
      <w:bookmarkEnd w:id="97"/>
      <w:bookmarkEnd w:id="98"/>
      <w:r>
        <w:rPr>
          <w:rFonts w:eastAsia="仿宋_GB2312"/>
          <w:lang w:bidi="en-US"/>
        </w:rPr>
        <w:t xml:space="preserve"> </w:t>
      </w:r>
    </w:p>
    <w:p>
      <w:pPr>
        <w:pStyle w:val="85"/>
        <w:adjustRightInd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评审</w:t>
      </w:r>
      <w:r>
        <w:rPr>
          <w:rFonts w:ascii="Times New Roman" w:hAnsi="Times New Roman" w:eastAsia="仿宋_GB2312" w:cs="Times New Roman"/>
          <w:sz w:val="32"/>
          <w:szCs w:val="32"/>
        </w:rPr>
        <w:t>小组成员按照评分标准对</w:t>
      </w:r>
      <w:r>
        <w:rPr>
          <w:rFonts w:ascii="Times New Roman" w:hAnsi="Times New Roman" w:eastAsia="仿宋_GB2312" w:cs="Times New Roman"/>
          <w:sz w:val="32"/>
          <w:szCs w:val="32"/>
          <w:lang w:val="en-US" w:eastAsia="zh-CN"/>
        </w:rPr>
        <w:t>供应商</w:t>
      </w:r>
      <w:r>
        <w:rPr>
          <w:rFonts w:ascii="Times New Roman" w:hAnsi="Times New Roman" w:eastAsia="仿宋_GB2312" w:cs="Times New Roman"/>
          <w:sz w:val="32"/>
          <w:szCs w:val="32"/>
        </w:rPr>
        <w:t>的商务、技术和</w:t>
      </w:r>
      <w:r>
        <w:rPr>
          <w:rFonts w:ascii="Times New Roman" w:hAnsi="Times New Roman" w:eastAsia="仿宋_GB2312" w:cs="Times New Roman"/>
          <w:sz w:val="32"/>
          <w:szCs w:val="32"/>
          <w:lang w:val="en-US" w:eastAsia="zh-CN"/>
        </w:rPr>
        <w:t>报价</w:t>
      </w:r>
      <w:r>
        <w:rPr>
          <w:rFonts w:ascii="Times New Roman" w:hAnsi="Times New Roman" w:eastAsia="仿宋_GB2312" w:cs="Times New Roman"/>
          <w:sz w:val="32"/>
          <w:szCs w:val="32"/>
        </w:rPr>
        <w:t>进行评分。各项得分汇总后为该成员给</w:t>
      </w:r>
      <w:r>
        <w:rPr>
          <w:rFonts w:ascii="Times New Roman" w:hAnsi="Times New Roman" w:eastAsia="仿宋_GB2312" w:cs="Times New Roman"/>
          <w:sz w:val="32"/>
          <w:szCs w:val="32"/>
          <w:lang w:val="en-US" w:eastAsia="zh-CN"/>
        </w:rPr>
        <w:t>供应商</w:t>
      </w:r>
      <w:r>
        <w:rPr>
          <w:rFonts w:ascii="Times New Roman" w:hAnsi="Times New Roman" w:eastAsia="仿宋_GB2312" w:cs="Times New Roman"/>
          <w:sz w:val="32"/>
          <w:szCs w:val="32"/>
        </w:rPr>
        <w:t>的评分总分。评分分值计算保留小数点后两位，小数点后第三位</w:t>
      </w:r>
      <w:r>
        <w:rPr>
          <w:rFonts w:ascii="Times New Roman" w:hAnsi="Times New Roman" w:eastAsia="仿宋_GB2312" w:cs="Times New Roman"/>
          <w:sz w:val="32"/>
          <w:szCs w:val="32"/>
          <w:lang w:val="zh-CN" w:eastAsia="zh-CN" w:bidi="zh-CN"/>
        </w:rPr>
        <w:t>“四</w:t>
      </w:r>
      <w:r>
        <w:rPr>
          <w:rFonts w:ascii="Times New Roman" w:hAnsi="Times New Roman" w:eastAsia="仿宋_GB2312" w:cs="Times New Roman"/>
          <w:sz w:val="32"/>
          <w:szCs w:val="32"/>
        </w:rPr>
        <w:t>舍五入”。</w:t>
      </w:r>
    </w:p>
    <w:p>
      <w:pPr>
        <w:pStyle w:val="4"/>
        <w:spacing w:line="560" w:lineRule="exact"/>
        <w:rPr>
          <w:rFonts w:eastAsia="仿宋_GB2312"/>
          <w:lang w:bidi="en-US"/>
        </w:rPr>
      </w:pPr>
      <w:bookmarkStart w:id="99" w:name="_Toc17351"/>
      <w:bookmarkStart w:id="100" w:name="_Toc11173"/>
      <w:bookmarkStart w:id="101" w:name="_Toc14323"/>
      <w:r>
        <w:rPr>
          <w:rFonts w:eastAsia="仿宋_GB2312"/>
          <w:lang w:bidi="en-US"/>
        </w:rPr>
        <w:t>3.4 汇总</w:t>
      </w:r>
      <w:bookmarkEnd w:id="99"/>
      <w:bookmarkEnd w:id="100"/>
      <w:bookmarkEnd w:id="101"/>
    </w:p>
    <w:p>
      <w:pPr>
        <w:pStyle w:val="85"/>
        <w:adjustRightInd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评审</w:t>
      </w:r>
      <w:r>
        <w:rPr>
          <w:rFonts w:ascii="Times New Roman" w:hAnsi="Times New Roman" w:eastAsia="仿宋_GB2312" w:cs="Times New Roman"/>
          <w:sz w:val="32"/>
          <w:szCs w:val="32"/>
        </w:rPr>
        <w:t>小组汇总每个成员对</w:t>
      </w:r>
      <w:r>
        <w:rPr>
          <w:rFonts w:ascii="Times New Roman" w:hAnsi="Times New Roman" w:eastAsia="仿宋_GB2312" w:cs="Times New Roman"/>
          <w:sz w:val="32"/>
          <w:szCs w:val="32"/>
          <w:lang w:val="en-US" w:eastAsia="zh-CN"/>
        </w:rPr>
        <w:t>供应商</w:t>
      </w:r>
      <w:r>
        <w:rPr>
          <w:rFonts w:ascii="Times New Roman" w:hAnsi="Times New Roman" w:eastAsia="仿宋_GB2312" w:cs="Times New Roman"/>
          <w:sz w:val="32"/>
          <w:szCs w:val="32"/>
        </w:rPr>
        <w:t>的评分总分，每个</w:t>
      </w:r>
      <w:r>
        <w:rPr>
          <w:rFonts w:ascii="Times New Roman" w:hAnsi="Times New Roman" w:eastAsia="仿宋_GB2312" w:cs="Times New Roman"/>
          <w:sz w:val="32"/>
          <w:szCs w:val="32"/>
          <w:lang w:val="en-US" w:eastAsia="zh-CN"/>
        </w:rPr>
        <w:t>供应商</w:t>
      </w:r>
      <w:r>
        <w:rPr>
          <w:rFonts w:ascii="Times New Roman" w:hAnsi="Times New Roman" w:eastAsia="仿宋_GB2312" w:cs="Times New Roman"/>
          <w:sz w:val="32"/>
          <w:szCs w:val="32"/>
        </w:rPr>
        <w:t>的评分总分的算术平均值为</w:t>
      </w:r>
      <w:r>
        <w:rPr>
          <w:rFonts w:ascii="Times New Roman" w:hAnsi="Times New Roman" w:eastAsia="仿宋_GB2312" w:cs="Times New Roman"/>
          <w:sz w:val="32"/>
          <w:szCs w:val="32"/>
          <w:lang w:val="en-US" w:eastAsia="zh-CN"/>
        </w:rPr>
        <w:t>供应商</w:t>
      </w:r>
      <w:r>
        <w:rPr>
          <w:rFonts w:ascii="Times New Roman" w:hAnsi="Times New Roman" w:eastAsia="仿宋_GB2312" w:cs="Times New Roman"/>
          <w:sz w:val="32"/>
          <w:szCs w:val="32"/>
        </w:rPr>
        <w:t>最终得分。</w:t>
      </w:r>
    </w:p>
    <w:p>
      <w:pPr>
        <w:pStyle w:val="4"/>
        <w:spacing w:line="560" w:lineRule="exact"/>
        <w:rPr>
          <w:rFonts w:eastAsia="仿宋_GB2312"/>
          <w:lang w:bidi="en-US"/>
        </w:rPr>
      </w:pPr>
      <w:bookmarkStart w:id="102" w:name="_Toc3067"/>
      <w:bookmarkStart w:id="103" w:name="_Toc29233"/>
      <w:bookmarkStart w:id="104" w:name="_Toc12042"/>
      <w:r>
        <w:rPr>
          <w:rFonts w:eastAsia="仿宋_GB2312"/>
          <w:lang w:bidi="en-US"/>
        </w:rPr>
        <w:t>3.5 排序</w:t>
      </w:r>
      <w:bookmarkEnd w:id="102"/>
      <w:bookmarkEnd w:id="103"/>
      <w:bookmarkEnd w:id="104"/>
    </w:p>
    <w:p>
      <w:pPr>
        <w:pStyle w:val="85"/>
        <w:adjustRightInd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评审</w:t>
      </w:r>
      <w:r>
        <w:rPr>
          <w:rFonts w:ascii="Times New Roman" w:hAnsi="Times New Roman" w:eastAsia="仿宋_GB2312" w:cs="Times New Roman"/>
          <w:sz w:val="32"/>
          <w:szCs w:val="32"/>
        </w:rPr>
        <w:t>小组对</w:t>
      </w:r>
      <w:r>
        <w:rPr>
          <w:rFonts w:ascii="Times New Roman" w:hAnsi="Times New Roman" w:eastAsia="仿宋_GB2312" w:cs="Times New Roman"/>
          <w:sz w:val="32"/>
          <w:szCs w:val="32"/>
          <w:lang w:val="en-US" w:eastAsia="zh-CN"/>
        </w:rPr>
        <w:t>供应商</w:t>
      </w:r>
      <w:r>
        <w:rPr>
          <w:rFonts w:ascii="Times New Roman" w:hAnsi="Times New Roman" w:eastAsia="仿宋_GB2312" w:cs="Times New Roman"/>
          <w:sz w:val="32"/>
          <w:szCs w:val="32"/>
        </w:rPr>
        <w:t>最终得分进行比较后，按照</w:t>
      </w:r>
      <w:r>
        <w:rPr>
          <w:rFonts w:ascii="Times New Roman" w:hAnsi="Times New Roman" w:eastAsia="仿宋_GB2312" w:cs="Times New Roman"/>
          <w:sz w:val="32"/>
          <w:szCs w:val="32"/>
          <w:lang w:val="en-US" w:eastAsia="zh-CN"/>
        </w:rPr>
        <w:t>供应商</w:t>
      </w:r>
      <w:r>
        <w:rPr>
          <w:rFonts w:ascii="Times New Roman" w:hAnsi="Times New Roman" w:eastAsia="仿宋_GB2312" w:cs="Times New Roman"/>
          <w:sz w:val="32"/>
          <w:szCs w:val="32"/>
        </w:rPr>
        <w:t>最终得分由高到低的顺序对</w:t>
      </w:r>
      <w:r>
        <w:rPr>
          <w:rFonts w:ascii="Times New Roman" w:hAnsi="Times New Roman" w:eastAsia="仿宋_GB2312" w:cs="Times New Roman"/>
          <w:sz w:val="32"/>
          <w:szCs w:val="32"/>
          <w:lang w:eastAsia="zh-CN"/>
        </w:rPr>
        <w:t>供应商</w:t>
      </w:r>
      <w:r>
        <w:rPr>
          <w:rFonts w:ascii="Times New Roman" w:hAnsi="Times New Roman" w:eastAsia="仿宋_GB2312" w:cs="Times New Roman"/>
          <w:sz w:val="32"/>
          <w:szCs w:val="32"/>
        </w:rPr>
        <w:t>排序。最终得分相等时，以评审价格低的优先；评审价格也相等的，以技术得分高的优先；如果技术得分也相等，按照评审办法前附表的规定确定</w:t>
      </w:r>
      <w:r>
        <w:rPr>
          <w:rFonts w:ascii="Times New Roman" w:hAnsi="Times New Roman" w:eastAsia="仿宋_GB2312" w:cs="Times New Roman"/>
          <w:sz w:val="32"/>
          <w:szCs w:val="32"/>
          <w:lang w:eastAsia="zh-CN"/>
        </w:rPr>
        <w:t>供应商</w:t>
      </w:r>
      <w:r>
        <w:rPr>
          <w:rFonts w:ascii="Times New Roman" w:hAnsi="Times New Roman" w:eastAsia="仿宋_GB2312" w:cs="Times New Roman"/>
          <w:sz w:val="32"/>
          <w:szCs w:val="32"/>
        </w:rPr>
        <w:t>优先顺序。</w:t>
      </w:r>
    </w:p>
    <w:p>
      <w:pPr>
        <w:pStyle w:val="3"/>
        <w:spacing w:before="0" w:after="0" w:line="560" w:lineRule="exact"/>
        <w:ind w:firstLine="643" w:firstLineChars="200"/>
        <w:jc w:val="left"/>
        <w:rPr>
          <w:rFonts w:ascii="Times New Roman" w:hAnsi="Times New Roman" w:eastAsia="仿宋_GB2312"/>
        </w:rPr>
      </w:pPr>
      <w:bookmarkStart w:id="105" w:name="_Toc28157"/>
      <w:bookmarkStart w:id="106" w:name="_Toc20198"/>
      <w:bookmarkStart w:id="107" w:name="_Toc26159"/>
      <w:bookmarkStart w:id="108" w:name="_Toc10052"/>
      <w:r>
        <w:rPr>
          <w:rFonts w:ascii="Times New Roman" w:hAnsi="Times New Roman" w:eastAsia="仿宋_GB2312"/>
        </w:rPr>
        <w:t>4</w:t>
      </w:r>
      <w:r>
        <w:rPr>
          <w:rFonts w:hint="eastAsia" w:ascii="Times New Roman" w:hAnsi="Times New Roman" w:eastAsia="仿宋_GB2312"/>
        </w:rPr>
        <w:t>.</w:t>
      </w:r>
      <w:r>
        <w:rPr>
          <w:rFonts w:ascii="Times New Roman" w:hAnsi="Times New Roman" w:eastAsia="仿宋_GB2312"/>
        </w:rPr>
        <w:t>评审结果</w:t>
      </w:r>
      <w:bookmarkEnd w:id="105"/>
      <w:bookmarkEnd w:id="106"/>
      <w:bookmarkEnd w:id="107"/>
      <w:bookmarkEnd w:id="108"/>
    </w:p>
    <w:p>
      <w:pPr>
        <w:pStyle w:val="4"/>
        <w:spacing w:line="560" w:lineRule="exact"/>
        <w:jc w:val="left"/>
        <w:rPr>
          <w:rFonts w:eastAsia="仿宋_GB2312"/>
        </w:rPr>
      </w:pPr>
      <w:bookmarkStart w:id="109" w:name="_Toc21275"/>
      <w:bookmarkStart w:id="110" w:name="_Toc30701"/>
      <w:bookmarkStart w:id="111" w:name="_Toc19808"/>
      <w:bookmarkStart w:id="112" w:name="_Toc14017"/>
      <w:r>
        <w:rPr>
          <w:rFonts w:eastAsia="仿宋_GB2312"/>
        </w:rPr>
        <w:t>4.1 提交书面评审报告</w:t>
      </w:r>
      <w:bookmarkEnd w:id="109"/>
      <w:bookmarkEnd w:id="110"/>
      <w:bookmarkEnd w:id="111"/>
      <w:bookmarkEnd w:id="112"/>
    </w:p>
    <w:p>
      <w:pPr>
        <w:pStyle w:val="85"/>
        <w:adjustRightInd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评审</w:t>
      </w:r>
      <w:r>
        <w:rPr>
          <w:rFonts w:ascii="Times New Roman" w:hAnsi="Times New Roman" w:eastAsia="仿宋_GB2312" w:cs="Times New Roman"/>
          <w:sz w:val="32"/>
          <w:szCs w:val="32"/>
        </w:rPr>
        <w:t>小组完成评审后，应当向采购人递交书面评审报告。</w:t>
      </w:r>
    </w:p>
    <w:p>
      <w:pPr>
        <w:pStyle w:val="4"/>
        <w:spacing w:line="560" w:lineRule="exact"/>
        <w:jc w:val="left"/>
        <w:rPr>
          <w:rFonts w:eastAsia="仿宋_GB2312"/>
        </w:rPr>
      </w:pPr>
      <w:bookmarkStart w:id="113" w:name="_Toc22950"/>
      <w:bookmarkStart w:id="114" w:name="_Toc19223"/>
      <w:bookmarkStart w:id="115" w:name="_Toc9165"/>
      <w:bookmarkStart w:id="116" w:name="_Toc24374"/>
      <w:r>
        <w:rPr>
          <w:rFonts w:eastAsia="仿宋_GB2312"/>
        </w:rPr>
        <w:t>4.2 推荐候选成交供应商排序要求及数量</w:t>
      </w:r>
      <w:bookmarkEnd w:id="113"/>
      <w:bookmarkEnd w:id="114"/>
      <w:bookmarkEnd w:id="115"/>
      <w:bookmarkEnd w:id="116"/>
    </w:p>
    <w:p>
      <w:pPr>
        <w:pStyle w:val="85"/>
        <w:adjustRightInd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评审</w:t>
      </w:r>
      <w:r>
        <w:rPr>
          <w:rFonts w:ascii="Times New Roman" w:hAnsi="Times New Roman" w:eastAsia="仿宋_GB2312" w:cs="Times New Roman"/>
          <w:sz w:val="32"/>
          <w:szCs w:val="32"/>
        </w:rPr>
        <w:t>小组应在书面评审报告中按照</w:t>
      </w:r>
      <w:r>
        <w:rPr>
          <w:rFonts w:ascii="Times New Roman" w:hAnsi="Times New Roman" w:eastAsia="仿宋_GB2312" w:cs="Times New Roman"/>
          <w:sz w:val="32"/>
          <w:szCs w:val="32"/>
          <w:lang w:eastAsia="zh-CN"/>
        </w:rPr>
        <w:t>供应商</w:t>
      </w:r>
      <w:r>
        <w:rPr>
          <w:rFonts w:ascii="Times New Roman" w:hAnsi="Times New Roman" w:eastAsia="仿宋_GB2312" w:cs="Times New Roman"/>
          <w:sz w:val="32"/>
          <w:szCs w:val="32"/>
        </w:rPr>
        <w:t>排列的优先顺序向</w:t>
      </w:r>
      <w:r>
        <w:rPr>
          <w:rFonts w:ascii="Times New Roman" w:hAnsi="Times New Roman" w:eastAsia="仿宋_GB2312" w:cs="Times New Roman"/>
          <w:sz w:val="32"/>
          <w:szCs w:val="32"/>
          <w:lang w:eastAsia="zh-CN"/>
        </w:rPr>
        <w:t>采购</w:t>
      </w:r>
      <w:r>
        <w:rPr>
          <w:rFonts w:ascii="Times New Roman" w:hAnsi="Times New Roman" w:eastAsia="仿宋_GB2312" w:cs="Times New Roman"/>
          <w:sz w:val="32"/>
          <w:szCs w:val="32"/>
        </w:rPr>
        <w:t>人推荐候选成交</w:t>
      </w:r>
      <w:r>
        <w:rPr>
          <w:rFonts w:ascii="Times New Roman" w:hAnsi="Times New Roman" w:eastAsia="仿宋_GB2312" w:cs="Times New Roman"/>
          <w:sz w:val="32"/>
          <w:szCs w:val="32"/>
          <w:lang w:eastAsia="zh-CN"/>
        </w:rPr>
        <w:t>供应商</w:t>
      </w:r>
      <w:r>
        <w:rPr>
          <w:rFonts w:ascii="Times New Roman" w:hAnsi="Times New Roman" w:eastAsia="仿宋_GB2312" w:cs="Times New Roman"/>
          <w:sz w:val="32"/>
          <w:szCs w:val="32"/>
        </w:rPr>
        <w:t>。候选成交供应商的排序要求及数量见第二章</w:t>
      </w:r>
      <w:r>
        <w:rPr>
          <w:rFonts w:ascii="Times New Roman" w:hAnsi="Times New Roman" w:eastAsia="仿宋_GB2312" w:cs="Times New Roman"/>
          <w:sz w:val="32"/>
          <w:szCs w:val="32"/>
          <w:lang w:val="zh-CN" w:eastAsia="zh-CN" w:bidi="zh-CN"/>
        </w:rPr>
        <w:t>“供</w:t>
      </w:r>
      <w:r>
        <w:rPr>
          <w:rFonts w:ascii="Times New Roman" w:hAnsi="Times New Roman" w:eastAsia="仿宋_GB2312" w:cs="Times New Roman"/>
          <w:sz w:val="32"/>
          <w:szCs w:val="32"/>
        </w:rPr>
        <w:t>应商须知”。</w:t>
      </w:r>
    </w:p>
    <w:p>
      <w:pPr>
        <w:widowControl/>
        <w:spacing w:line="560" w:lineRule="exact"/>
        <w:jc w:val="left"/>
        <w:rPr>
          <w:rFonts w:hint="eastAsia" w:ascii="黑体" w:hAnsi="黑体" w:eastAsia="黑体" w:cs="宋体"/>
          <w:szCs w:val="21"/>
        </w:rPr>
      </w:pPr>
      <w:r>
        <w:rPr>
          <w:rFonts w:eastAsia="仿宋_GB2312"/>
          <w:sz w:val="32"/>
          <w:szCs w:val="32"/>
        </w:rPr>
        <w:br w:type="page"/>
      </w:r>
      <w:bookmarkStart w:id="117" w:name="_Toc19905"/>
      <w:bookmarkStart w:id="118" w:name="_Toc2940"/>
      <w:bookmarkStart w:id="119" w:name="_Toc162967109"/>
      <w:bookmarkStart w:id="120" w:name="_Toc6797"/>
      <w:r>
        <w:rPr>
          <w:rFonts w:hint="eastAsia" w:ascii="黑体" w:hAnsi="黑体" w:eastAsia="黑体" w:cs="宋体"/>
          <w:sz w:val="32"/>
          <w:szCs w:val="32"/>
        </w:rPr>
        <w:t>附件1</w:t>
      </w:r>
      <w:r>
        <w:rPr>
          <w:rFonts w:ascii="黑体" w:hAnsi="黑体" w:eastAsia="黑体" w:cs="宋体"/>
          <w:sz w:val="32"/>
          <w:szCs w:val="32"/>
        </w:rPr>
        <w:t xml:space="preserve"> </w:t>
      </w:r>
    </w:p>
    <w:p>
      <w:pPr>
        <w:widowControl/>
        <w:spacing w:line="560" w:lineRule="exact"/>
        <w:jc w:val="center"/>
        <w:rPr>
          <w:rFonts w:hint="eastAsia" w:ascii="方正小标宋简体" w:hAnsi="黑体" w:eastAsia="方正小标宋简体" w:cs="宋体"/>
          <w:sz w:val="44"/>
          <w:szCs w:val="44"/>
        </w:rPr>
      </w:pPr>
      <w:r>
        <w:rPr>
          <w:rFonts w:hint="eastAsia" w:ascii="方正小标宋简体" w:hAnsi="黑体" w:eastAsia="方正小标宋简体" w:cs="宋体"/>
          <w:sz w:val="44"/>
          <w:szCs w:val="44"/>
        </w:rPr>
        <w:t>商务评分表</w:t>
      </w:r>
      <w:bookmarkEnd w:id="117"/>
      <w:bookmarkEnd w:id="118"/>
      <w:bookmarkEnd w:id="119"/>
      <w:bookmarkEnd w:id="120"/>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4"/>
        <w:gridCol w:w="1309"/>
        <w:gridCol w:w="1417"/>
        <w:gridCol w:w="544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05" w:hRule="atLeast"/>
          <w:tblHeader/>
        </w:trPr>
        <w:tc>
          <w:tcPr>
            <w:tcW w:w="784" w:type="dxa"/>
            <w:tcBorders>
              <w:bottom w:val="single" w:color="auto" w:sz="6" w:space="0"/>
            </w:tcBorders>
            <w:vAlign w:val="center"/>
          </w:tcPr>
          <w:p>
            <w:pPr>
              <w:pStyle w:val="74"/>
              <w:tabs>
                <w:tab w:val="left" w:pos="1050"/>
              </w:tabs>
              <w:ind w:left="12" w:hanging="12" w:hangingChars="5"/>
              <w:jc w:val="center"/>
              <w:rPr>
                <w:rFonts w:ascii="Times New Roman" w:eastAsia="楷体_GB2312"/>
                <w:b/>
                <w:bCs/>
                <w:sz w:val="24"/>
                <w:szCs w:val="24"/>
              </w:rPr>
            </w:pPr>
            <w:r>
              <w:rPr>
                <w:rFonts w:ascii="Times New Roman" w:eastAsia="楷体_GB2312"/>
                <w:b/>
                <w:bCs/>
                <w:sz w:val="24"/>
                <w:szCs w:val="24"/>
              </w:rPr>
              <w:t>序号</w:t>
            </w:r>
          </w:p>
        </w:tc>
        <w:tc>
          <w:tcPr>
            <w:tcW w:w="1309" w:type="dxa"/>
            <w:tcBorders>
              <w:bottom w:val="single" w:color="auto" w:sz="6" w:space="0"/>
            </w:tcBorders>
            <w:vAlign w:val="center"/>
          </w:tcPr>
          <w:p>
            <w:pPr>
              <w:pStyle w:val="74"/>
              <w:tabs>
                <w:tab w:val="left" w:pos="1050"/>
              </w:tabs>
              <w:ind w:left="12" w:hanging="12" w:hangingChars="5"/>
              <w:rPr>
                <w:rFonts w:ascii="Times New Roman" w:eastAsia="楷体_GB2312"/>
                <w:b/>
                <w:bCs/>
                <w:sz w:val="24"/>
                <w:szCs w:val="24"/>
              </w:rPr>
            </w:pPr>
            <w:r>
              <w:rPr>
                <w:rFonts w:ascii="Times New Roman" w:eastAsia="楷体_GB2312"/>
                <w:b/>
                <w:bCs/>
                <w:sz w:val="24"/>
                <w:szCs w:val="24"/>
              </w:rPr>
              <w:t>评分项目</w:t>
            </w:r>
          </w:p>
        </w:tc>
        <w:tc>
          <w:tcPr>
            <w:tcW w:w="1417" w:type="dxa"/>
            <w:tcBorders>
              <w:bottom w:val="single" w:color="auto" w:sz="6" w:space="0"/>
            </w:tcBorders>
            <w:vAlign w:val="center"/>
          </w:tcPr>
          <w:p>
            <w:pPr>
              <w:pStyle w:val="74"/>
              <w:tabs>
                <w:tab w:val="left" w:pos="1050"/>
              </w:tabs>
              <w:ind w:left="12" w:hanging="12" w:hangingChars="5"/>
              <w:jc w:val="center"/>
              <w:rPr>
                <w:rFonts w:ascii="Times New Roman" w:eastAsia="楷体_GB2312"/>
                <w:b/>
                <w:bCs/>
                <w:sz w:val="24"/>
                <w:szCs w:val="24"/>
              </w:rPr>
            </w:pPr>
            <w:r>
              <w:rPr>
                <w:rFonts w:ascii="Times New Roman" w:eastAsia="楷体_GB2312"/>
                <w:b/>
                <w:bCs/>
                <w:sz w:val="24"/>
                <w:szCs w:val="24"/>
              </w:rPr>
              <w:t>标准分数</w:t>
            </w:r>
          </w:p>
        </w:tc>
        <w:tc>
          <w:tcPr>
            <w:tcW w:w="5448" w:type="dxa"/>
            <w:tcBorders>
              <w:bottom w:val="single" w:color="auto" w:sz="6" w:space="0"/>
            </w:tcBorders>
            <w:vAlign w:val="center"/>
          </w:tcPr>
          <w:p>
            <w:pPr>
              <w:pStyle w:val="74"/>
              <w:tabs>
                <w:tab w:val="left" w:pos="1050"/>
              </w:tabs>
              <w:ind w:left="12" w:hanging="12" w:hangingChars="5"/>
              <w:jc w:val="center"/>
              <w:rPr>
                <w:rFonts w:ascii="Times New Roman" w:eastAsia="楷体_GB2312"/>
                <w:b/>
                <w:bCs/>
                <w:sz w:val="24"/>
                <w:szCs w:val="24"/>
              </w:rPr>
            </w:pPr>
            <w:r>
              <w:rPr>
                <w:rFonts w:ascii="Times New Roman" w:eastAsia="楷体_GB2312"/>
                <w:b/>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876" w:hRule="atLeast"/>
        </w:trPr>
        <w:tc>
          <w:tcPr>
            <w:tcW w:w="784" w:type="dxa"/>
            <w:tcBorders>
              <w:top w:val="single" w:color="auto" w:sz="6" w:space="0"/>
            </w:tcBorders>
            <w:vAlign w:val="center"/>
          </w:tcPr>
          <w:p>
            <w:pPr>
              <w:pStyle w:val="74"/>
              <w:tabs>
                <w:tab w:val="left" w:pos="1050"/>
              </w:tabs>
              <w:spacing w:line="320" w:lineRule="exact"/>
              <w:ind w:left="12" w:hanging="12" w:hangingChars="5"/>
              <w:jc w:val="center"/>
              <w:rPr>
                <w:rFonts w:ascii="Times New Roman" w:eastAsia="楷体_GB2312"/>
                <w:sz w:val="24"/>
                <w:szCs w:val="24"/>
              </w:rPr>
            </w:pPr>
            <w:r>
              <w:rPr>
                <w:rFonts w:ascii="Times New Roman" w:eastAsia="楷体_GB2312"/>
                <w:sz w:val="24"/>
                <w:szCs w:val="24"/>
              </w:rPr>
              <w:t>1</w:t>
            </w:r>
          </w:p>
        </w:tc>
        <w:tc>
          <w:tcPr>
            <w:tcW w:w="1309" w:type="dxa"/>
            <w:tcBorders>
              <w:top w:val="single" w:color="auto" w:sz="6" w:space="0"/>
            </w:tcBorders>
            <w:vAlign w:val="center"/>
          </w:tcPr>
          <w:p>
            <w:pPr>
              <w:pStyle w:val="74"/>
              <w:tabs>
                <w:tab w:val="left" w:pos="1050"/>
              </w:tabs>
              <w:spacing w:line="320" w:lineRule="exact"/>
              <w:ind w:left="12" w:hanging="12" w:hangingChars="5"/>
              <w:jc w:val="center"/>
              <w:rPr>
                <w:rFonts w:ascii="Times New Roman" w:eastAsia="楷体_GB2312"/>
                <w:sz w:val="24"/>
                <w:szCs w:val="24"/>
              </w:rPr>
            </w:pPr>
            <w:r>
              <w:rPr>
                <w:rFonts w:ascii="Times New Roman" w:eastAsia="楷体_GB2312"/>
                <w:sz w:val="24"/>
                <w:szCs w:val="24"/>
              </w:rPr>
              <w:t>企业综合实力</w:t>
            </w:r>
          </w:p>
        </w:tc>
        <w:tc>
          <w:tcPr>
            <w:tcW w:w="1417" w:type="dxa"/>
            <w:tcBorders>
              <w:top w:val="single" w:color="auto" w:sz="6" w:space="0"/>
            </w:tcBorders>
            <w:vAlign w:val="center"/>
          </w:tcPr>
          <w:p>
            <w:pPr>
              <w:pStyle w:val="74"/>
              <w:tabs>
                <w:tab w:val="left" w:pos="1050"/>
              </w:tabs>
              <w:spacing w:line="320" w:lineRule="exact"/>
              <w:ind w:left="12" w:hanging="12" w:hangingChars="5"/>
              <w:jc w:val="center"/>
              <w:rPr>
                <w:rFonts w:ascii="Times New Roman" w:eastAsia="楷体_GB2312"/>
                <w:sz w:val="24"/>
                <w:szCs w:val="24"/>
              </w:rPr>
            </w:pPr>
            <w:r>
              <w:rPr>
                <w:rFonts w:ascii="Times New Roman" w:eastAsia="楷体_GB2312"/>
                <w:sz w:val="24"/>
                <w:szCs w:val="24"/>
              </w:rPr>
              <w:t>25</w:t>
            </w:r>
          </w:p>
        </w:tc>
        <w:tc>
          <w:tcPr>
            <w:tcW w:w="5448" w:type="dxa"/>
            <w:tcBorders>
              <w:top w:val="single" w:color="auto" w:sz="6" w:space="0"/>
            </w:tcBorders>
            <w:vAlign w:val="center"/>
          </w:tcPr>
          <w:p>
            <w:pPr>
              <w:pStyle w:val="25"/>
              <w:widowControl w:val="0"/>
              <w:spacing w:before="0" w:beforeAutospacing="0" w:after="0" w:afterAutospacing="0" w:line="320" w:lineRule="exact"/>
              <w:outlineLvl w:val="0"/>
              <w:rPr>
                <w:rFonts w:ascii="Times New Roman" w:hAnsi="Times New Roman" w:eastAsia="楷体_GB2312" w:cs="Times New Roman"/>
                <w:kern w:val="2"/>
              </w:rPr>
            </w:pPr>
            <w:r>
              <w:rPr>
                <w:rFonts w:ascii="Times New Roman" w:hAnsi="Times New Roman" w:eastAsia="楷体_GB2312" w:cs="Times New Roman"/>
                <w:kern w:val="2"/>
              </w:rPr>
              <w:t>根据供应商的经营年限、财务状况、企业信誉等综合实力进行评价。强得（15-25</w:t>
            </w:r>
            <w:r>
              <w:rPr>
                <w:rFonts w:hint="eastAsia" w:asciiTheme="minorEastAsia" w:hAnsiTheme="minorEastAsia" w:eastAsiaTheme="minorEastAsia" w:cstheme="minorEastAsia"/>
                <w:kern w:val="2"/>
                <w:sz w:val="21"/>
                <w:szCs w:val="21"/>
              </w:rPr>
              <w:t>】</w:t>
            </w:r>
            <w:r>
              <w:rPr>
                <w:rFonts w:ascii="Times New Roman" w:hAnsi="Times New Roman" w:eastAsia="楷体_GB2312" w:cs="Times New Roman"/>
                <w:kern w:val="2"/>
              </w:rPr>
              <w:t>分</w:t>
            </w:r>
            <w:r>
              <w:rPr>
                <w:rFonts w:hint="eastAsia" w:ascii="Times New Roman" w:hAnsi="Times New Roman" w:eastAsia="楷体_GB2312" w:cs="Times New Roman"/>
                <w:kern w:val="2"/>
              </w:rPr>
              <w:t>，</w:t>
            </w:r>
            <w:r>
              <w:rPr>
                <w:rFonts w:ascii="Times New Roman" w:hAnsi="Times New Roman" w:eastAsia="楷体_GB2312" w:cs="Times New Roman"/>
                <w:kern w:val="2"/>
              </w:rPr>
              <w:t>较强得（10-15</w:t>
            </w:r>
            <w:r>
              <w:rPr>
                <w:rFonts w:hint="eastAsia" w:asciiTheme="minorEastAsia" w:hAnsiTheme="minorEastAsia" w:eastAsiaTheme="minorEastAsia" w:cstheme="minorEastAsia"/>
                <w:kern w:val="2"/>
                <w:sz w:val="21"/>
                <w:szCs w:val="21"/>
              </w:rPr>
              <w:t>】</w:t>
            </w:r>
            <w:r>
              <w:rPr>
                <w:rFonts w:ascii="Times New Roman" w:hAnsi="Times New Roman" w:eastAsia="楷体_GB2312" w:cs="Times New Roman"/>
                <w:kern w:val="2"/>
              </w:rPr>
              <w:t>分</w:t>
            </w:r>
            <w:r>
              <w:rPr>
                <w:rFonts w:hint="eastAsia" w:ascii="Times New Roman" w:hAnsi="Times New Roman" w:eastAsia="楷体_GB2312" w:cs="Times New Roman"/>
                <w:kern w:val="2"/>
              </w:rPr>
              <w:t>，</w:t>
            </w:r>
            <w:r>
              <w:rPr>
                <w:rFonts w:ascii="Times New Roman" w:hAnsi="Times New Roman" w:eastAsia="楷体_GB2312" w:cs="Times New Roman"/>
                <w:kern w:val="2"/>
              </w:rPr>
              <w:t>一般得</w:t>
            </w:r>
            <w:r>
              <w:rPr>
                <w:rFonts w:hint="eastAsia" w:asciiTheme="minorEastAsia" w:hAnsiTheme="minorEastAsia" w:eastAsiaTheme="minorEastAsia" w:cstheme="minorEastAsia"/>
                <w:kern w:val="2"/>
                <w:sz w:val="21"/>
                <w:szCs w:val="21"/>
              </w:rPr>
              <w:t>【</w:t>
            </w:r>
            <w:r>
              <w:rPr>
                <w:rFonts w:ascii="Times New Roman" w:hAnsi="Times New Roman" w:eastAsia="楷体_GB2312" w:cs="Times New Roman"/>
                <w:kern w:val="2"/>
              </w:rPr>
              <w:t>5-10</w:t>
            </w:r>
            <w:r>
              <w:rPr>
                <w:rFonts w:hint="eastAsia" w:asciiTheme="minorEastAsia" w:hAnsiTheme="minorEastAsia" w:eastAsiaTheme="minorEastAsia" w:cstheme="minorEastAsia"/>
                <w:kern w:val="2"/>
                <w:sz w:val="21"/>
                <w:szCs w:val="21"/>
              </w:rPr>
              <w:t>】</w:t>
            </w:r>
            <w:r>
              <w:rPr>
                <w:rFonts w:ascii="Times New Roman" w:hAnsi="Times New Roman" w:eastAsia="楷体_GB2312" w:cs="Times New Roman"/>
                <w:kern w:val="2"/>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876" w:hRule="atLeast"/>
        </w:trPr>
        <w:tc>
          <w:tcPr>
            <w:tcW w:w="784" w:type="dxa"/>
            <w:tcBorders>
              <w:top w:val="single" w:color="auto" w:sz="6" w:space="0"/>
            </w:tcBorders>
            <w:vAlign w:val="center"/>
          </w:tcPr>
          <w:p>
            <w:pPr>
              <w:pStyle w:val="74"/>
              <w:tabs>
                <w:tab w:val="left" w:pos="1050"/>
              </w:tabs>
              <w:spacing w:line="320" w:lineRule="exact"/>
              <w:ind w:left="12" w:hanging="12" w:hangingChars="5"/>
              <w:jc w:val="center"/>
              <w:rPr>
                <w:rFonts w:ascii="Times New Roman" w:eastAsia="楷体_GB2312"/>
                <w:sz w:val="24"/>
                <w:szCs w:val="24"/>
              </w:rPr>
            </w:pPr>
            <w:r>
              <w:rPr>
                <w:rFonts w:ascii="Times New Roman" w:eastAsia="楷体_GB2312"/>
                <w:sz w:val="24"/>
                <w:szCs w:val="24"/>
              </w:rPr>
              <w:t>2</w:t>
            </w:r>
          </w:p>
        </w:tc>
        <w:tc>
          <w:tcPr>
            <w:tcW w:w="1309" w:type="dxa"/>
            <w:tcBorders>
              <w:top w:val="single" w:color="auto" w:sz="6" w:space="0"/>
            </w:tcBorders>
            <w:vAlign w:val="center"/>
          </w:tcPr>
          <w:p>
            <w:pPr>
              <w:pStyle w:val="74"/>
              <w:tabs>
                <w:tab w:val="left" w:pos="1050"/>
              </w:tabs>
              <w:spacing w:line="320" w:lineRule="exact"/>
              <w:ind w:left="12" w:hanging="12" w:hangingChars="5"/>
              <w:jc w:val="center"/>
              <w:rPr>
                <w:rFonts w:ascii="Times New Roman" w:eastAsia="楷体_GB2312"/>
                <w:sz w:val="24"/>
                <w:szCs w:val="24"/>
              </w:rPr>
            </w:pPr>
            <w:r>
              <w:rPr>
                <w:rFonts w:ascii="Times New Roman" w:eastAsia="楷体_GB2312"/>
                <w:sz w:val="24"/>
                <w:szCs w:val="24"/>
              </w:rPr>
              <w:t>财务审计报告</w:t>
            </w:r>
          </w:p>
        </w:tc>
        <w:tc>
          <w:tcPr>
            <w:tcW w:w="1417" w:type="dxa"/>
            <w:tcBorders>
              <w:top w:val="single" w:color="auto" w:sz="6" w:space="0"/>
            </w:tcBorders>
            <w:vAlign w:val="center"/>
          </w:tcPr>
          <w:p>
            <w:pPr>
              <w:pStyle w:val="74"/>
              <w:tabs>
                <w:tab w:val="left" w:pos="1050"/>
              </w:tabs>
              <w:spacing w:line="320" w:lineRule="exact"/>
              <w:ind w:left="12" w:hanging="12" w:hangingChars="5"/>
              <w:jc w:val="center"/>
              <w:rPr>
                <w:rFonts w:ascii="Times New Roman" w:eastAsia="楷体_GB2312"/>
                <w:sz w:val="24"/>
                <w:szCs w:val="24"/>
              </w:rPr>
            </w:pPr>
            <w:r>
              <w:rPr>
                <w:rFonts w:ascii="Times New Roman" w:eastAsia="楷体_GB2312"/>
                <w:sz w:val="24"/>
                <w:szCs w:val="24"/>
              </w:rPr>
              <w:t>10</w:t>
            </w:r>
          </w:p>
        </w:tc>
        <w:tc>
          <w:tcPr>
            <w:tcW w:w="5448" w:type="dxa"/>
            <w:tcBorders>
              <w:top w:val="single" w:color="auto" w:sz="6" w:space="0"/>
            </w:tcBorders>
            <w:vAlign w:val="center"/>
          </w:tcPr>
          <w:p>
            <w:pPr>
              <w:pStyle w:val="25"/>
              <w:widowControl w:val="0"/>
              <w:spacing w:before="0" w:beforeAutospacing="0" w:after="0" w:afterAutospacing="0" w:line="320" w:lineRule="exact"/>
              <w:outlineLvl w:val="0"/>
              <w:rPr>
                <w:rFonts w:ascii="Times New Roman" w:hAnsi="Times New Roman" w:eastAsia="楷体_GB2312" w:cs="Times New Roman"/>
                <w:kern w:val="2"/>
              </w:rPr>
            </w:pPr>
            <w:r>
              <w:rPr>
                <w:rFonts w:ascii="Times New Roman" w:hAnsi="Times New Roman" w:eastAsia="楷体_GB2312" w:cs="Times New Roman"/>
                <w:kern w:val="2"/>
              </w:rPr>
              <w:t>按采购文件要求，提供字迹清晰完整且无保留意见，由两名具备相关业务资格的注册会计师签名盖章并经会计师事务所盖章的得10分；</w:t>
            </w:r>
            <w:r>
              <w:rPr>
                <w:rFonts w:ascii="Times New Roman" w:hAnsi="Times New Roman" w:eastAsia="楷体_GB2312" w:cs="Times New Roman"/>
                <w:b/>
                <w:bCs/>
                <w:kern w:val="2"/>
              </w:rPr>
              <w:t>其他情况不得分，不提交不得分。</w:t>
            </w:r>
          </w:p>
          <w:p>
            <w:pPr>
              <w:pStyle w:val="25"/>
              <w:widowControl w:val="0"/>
              <w:spacing w:before="0" w:beforeAutospacing="0" w:after="0" w:afterAutospacing="0" w:line="320" w:lineRule="exact"/>
              <w:ind w:firstLine="480" w:firstLineChars="200"/>
              <w:outlineLvl w:val="0"/>
              <w:rPr>
                <w:rFonts w:ascii="Times New Roman" w:hAnsi="Times New Roman" w:eastAsia="楷体_GB2312" w:cs="Times New Roman"/>
                <w:kern w:val="2"/>
              </w:rPr>
            </w:pPr>
            <w:r>
              <w:rPr>
                <w:rFonts w:ascii="Times New Roman" w:hAnsi="Times New Roman" w:eastAsia="楷体_GB2312" w:cs="Times New Roman"/>
                <w:kern w:val="2"/>
              </w:rPr>
              <w:t>注：近三年是指响应截止日之前完整三个年度，若响应截止日为本年度6月30日以前的，可不提供上一年度，但需提供上一年度之前的三个年度；若供应商成立时间不满三年的，提供时间为自供应商成立之日至响应截止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876" w:hRule="atLeast"/>
        </w:trPr>
        <w:tc>
          <w:tcPr>
            <w:tcW w:w="784" w:type="dxa"/>
            <w:tcBorders>
              <w:top w:val="single" w:color="auto" w:sz="6" w:space="0"/>
            </w:tcBorders>
            <w:vAlign w:val="center"/>
          </w:tcPr>
          <w:p>
            <w:pPr>
              <w:pStyle w:val="74"/>
              <w:tabs>
                <w:tab w:val="left" w:pos="1050"/>
              </w:tabs>
              <w:spacing w:line="320" w:lineRule="exact"/>
              <w:ind w:left="12" w:hanging="12" w:hangingChars="5"/>
              <w:jc w:val="center"/>
              <w:rPr>
                <w:rFonts w:ascii="Times New Roman" w:eastAsia="楷体_GB2312"/>
                <w:sz w:val="24"/>
                <w:szCs w:val="24"/>
              </w:rPr>
            </w:pPr>
            <w:r>
              <w:rPr>
                <w:rFonts w:ascii="Times New Roman" w:eastAsia="楷体_GB2312"/>
                <w:sz w:val="24"/>
                <w:szCs w:val="24"/>
              </w:rPr>
              <w:t>3</w:t>
            </w:r>
          </w:p>
        </w:tc>
        <w:tc>
          <w:tcPr>
            <w:tcW w:w="1309" w:type="dxa"/>
            <w:tcBorders>
              <w:top w:val="single" w:color="auto" w:sz="6" w:space="0"/>
            </w:tcBorders>
            <w:vAlign w:val="center"/>
          </w:tcPr>
          <w:p>
            <w:pPr>
              <w:pStyle w:val="74"/>
              <w:tabs>
                <w:tab w:val="left" w:pos="1050"/>
              </w:tabs>
              <w:spacing w:line="320" w:lineRule="exact"/>
              <w:ind w:left="12" w:hanging="12" w:hangingChars="5"/>
              <w:jc w:val="center"/>
              <w:rPr>
                <w:rFonts w:ascii="Times New Roman" w:eastAsia="楷体_GB2312"/>
                <w:sz w:val="24"/>
                <w:szCs w:val="24"/>
              </w:rPr>
            </w:pPr>
            <w:r>
              <w:rPr>
                <w:rFonts w:ascii="Times New Roman" w:eastAsia="楷体_GB2312"/>
                <w:sz w:val="24"/>
                <w:szCs w:val="24"/>
              </w:rPr>
              <w:t>响应文件规范与完整度评价</w:t>
            </w:r>
          </w:p>
        </w:tc>
        <w:tc>
          <w:tcPr>
            <w:tcW w:w="1417" w:type="dxa"/>
            <w:tcBorders>
              <w:top w:val="single" w:color="auto" w:sz="6" w:space="0"/>
            </w:tcBorders>
            <w:vAlign w:val="center"/>
          </w:tcPr>
          <w:p>
            <w:pPr>
              <w:pStyle w:val="74"/>
              <w:tabs>
                <w:tab w:val="left" w:pos="1050"/>
              </w:tabs>
              <w:spacing w:line="320" w:lineRule="exact"/>
              <w:ind w:left="12" w:hanging="12" w:hangingChars="5"/>
              <w:jc w:val="center"/>
              <w:rPr>
                <w:rFonts w:ascii="Times New Roman" w:eastAsia="楷体_GB2312"/>
                <w:sz w:val="24"/>
                <w:szCs w:val="24"/>
              </w:rPr>
            </w:pPr>
            <w:r>
              <w:rPr>
                <w:rFonts w:ascii="Times New Roman" w:eastAsia="楷体_GB2312"/>
                <w:sz w:val="24"/>
                <w:szCs w:val="24"/>
              </w:rPr>
              <w:t>10</w:t>
            </w:r>
          </w:p>
        </w:tc>
        <w:tc>
          <w:tcPr>
            <w:tcW w:w="5448" w:type="dxa"/>
            <w:tcBorders>
              <w:top w:val="single" w:color="auto" w:sz="6" w:space="0"/>
            </w:tcBorders>
            <w:vAlign w:val="center"/>
          </w:tcPr>
          <w:p>
            <w:pPr>
              <w:pStyle w:val="25"/>
              <w:widowControl w:val="0"/>
              <w:spacing w:before="0" w:beforeAutospacing="0" w:after="0" w:afterAutospacing="0" w:line="320" w:lineRule="exact"/>
              <w:outlineLvl w:val="0"/>
              <w:rPr>
                <w:rFonts w:ascii="Times New Roman" w:hAnsi="Times New Roman" w:eastAsia="楷体_GB2312" w:cs="Times New Roman"/>
                <w:kern w:val="2"/>
              </w:rPr>
            </w:pPr>
            <w:r>
              <w:rPr>
                <w:rFonts w:ascii="Times New Roman" w:hAnsi="Times New Roman" w:eastAsia="楷体_GB2312" w:cs="Times New Roman"/>
                <w:kern w:val="2"/>
              </w:rPr>
              <w:t>根据供应商响应文件完整度、规范化等综合情况打分，优秀得（7-10</w:t>
            </w:r>
            <w:r>
              <w:rPr>
                <w:rFonts w:hint="eastAsia" w:asciiTheme="minorEastAsia" w:hAnsiTheme="minorEastAsia" w:eastAsiaTheme="minorEastAsia" w:cstheme="minorEastAsia"/>
                <w:kern w:val="2"/>
                <w:sz w:val="21"/>
                <w:szCs w:val="21"/>
              </w:rPr>
              <w:t>】</w:t>
            </w:r>
            <w:r>
              <w:rPr>
                <w:rFonts w:ascii="Times New Roman" w:hAnsi="Times New Roman" w:eastAsia="楷体_GB2312" w:cs="Times New Roman"/>
                <w:kern w:val="2"/>
              </w:rPr>
              <w:t>分</w:t>
            </w:r>
            <w:r>
              <w:rPr>
                <w:rFonts w:hint="eastAsia" w:ascii="Times New Roman" w:hAnsi="Times New Roman" w:eastAsia="楷体_GB2312" w:cs="Times New Roman"/>
                <w:kern w:val="2"/>
              </w:rPr>
              <w:t>，</w:t>
            </w:r>
            <w:r>
              <w:rPr>
                <w:rFonts w:ascii="Times New Roman" w:hAnsi="Times New Roman" w:eastAsia="楷体_GB2312" w:cs="Times New Roman"/>
                <w:kern w:val="2"/>
              </w:rPr>
              <w:t>良得（5-7</w:t>
            </w:r>
            <w:r>
              <w:rPr>
                <w:rFonts w:hint="eastAsia" w:asciiTheme="minorEastAsia" w:hAnsiTheme="minorEastAsia" w:eastAsiaTheme="minorEastAsia" w:cstheme="minorEastAsia"/>
                <w:kern w:val="2"/>
                <w:sz w:val="21"/>
                <w:szCs w:val="21"/>
              </w:rPr>
              <w:t>】</w:t>
            </w:r>
            <w:r>
              <w:rPr>
                <w:rFonts w:ascii="Times New Roman" w:hAnsi="Times New Roman" w:eastAsia="楷体_GB2312" w:cs="Times New Roman"/>
                <w:kern w:val="2"/>
              </w:rPr>
              <w:t>分</w:t>
            </w:r>
            <w:r>
              <w:rPr>
                <w:rFonts w:hint="eastAsia" w:ascii="Times New Roman" w:hAnsi="Times New Roman" w:eastAsia="楷体_GB2312" w:cs="Times New Roman"/>
                <w:kern w:val="2"/>
              </w:rPr>
              <w:t>，</w:t>
            </w:r>
            <w:r>
              <w:rPr>
                <w:rFonts w:ascii="Times New Roman" w:hAnsi="Times New Roman" w:eastAsia="楷体_GB2312" w:cs="Times New Roman"/>
                <w:kern w:val="2"/>
              </w:rPr>
              <w:t>一般得</w:t>
            </w:r>
            <w:r>
              <w:rPr>
                <w:rFonts w:hint="eastAsia" w:asciiTheme="minorEastAsia" w:hAnsiTheme="minorEastAsia" w:eastAsiaTheme="minorEastAsia" w:cstheme="minorEastAsia"/>
                <w:kern w:val="2"/>
                <w:sz w:val="21"/>
                <w:szCs w:val="21"/>
              </w:rPr>
              <w:t>【</w:t>
            </w:r>
            <w:r>
              <w:rPr>
                <w:rFonts w:ascii="Times New Roman" w:hAnsi="Times New Roman" w:eastAsia="楷体_GB2312" w:cs="Times New Roman"/>
                <w:kern w:val="2"/>
              </w:rPr>
              <w:t>3-5</w:t>
            </w:r>
            <w:r>
              <w:rPr>
                <w:rFonts w:hint="eastAsia" w:asciiTheme="minorEastAsia" w:hAnsiTheme="minorEastAsia" w:eastAsiaTheme="minorEastAsia" w:cstheme="minorEastAsia"/>
                <w:kern w:val="2"/>
                <w:sz w:val="21"/>
                <w:szCs w:val="21"/>
              </w:rPr>
              <w:t>】</w:t>
            </w:r>
            <w:r>
              <w:rPr>
                <w:rFonts w:ascii="Times New Roman" w:hAnsi="Times New Roman" w:eastAsia="楷体_GB2312" w:cs="Times New Roman"/>
                <w:kern w:val="2"/>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876" w:hRule="atLeast"/>
        </w:trPr>
        <w:tc>
          <w:tcPr>
            <w:tcW w:w="784" w:type="dxa"/>
            <w:tcBorders>
              <w:top w:val="single" w:color="auto" w:sz="6" w:space="0"/>
            </w:tcBorders>
            <w:vAlign w:val="center"/>
          </w:tcPr>
          <w:p>
            <w:pPr>
              <w:pStyle w:val="74"/>
              <w:tabs>
                <w:tab w:val="left" w:pos="1050"/>
              </w:tabs>
              <w:spacing w:line="320" w:lineRule="exact"/>
              <w:ind w:left="12" w:hanging="12" w:hangingChars="5"/>
              <w:jc w:val="center"/>
              <w:rPr>
                <w:rFonts w:ascii="Times New Roman" w:eastAsia="楷体_GB2312"/>
                <w:sz w:val="24"/>
                <w:szCs w:val="24"/>
              </w:rPr>
            </w:pPr>
            <w:r>
              <w:rPr>
                <w:rFonts w:ascii="Times New Roman" w:eastAsia="楷体_GB2312"/>
                <w:sz w:val="24"/>
                <w:szCs w:val="24"/>
              </w:rPr>
              <w:t>4</w:t>
            </w:r>
          </w:p>
        </w:tc>
        <w:tc>
          <w:tcPr>
            <w:tcW w:w="1309" w:type="dxa"/>
            <w:tcBorders>
              <w:top w:val="single" w:color="auto" w:sz="6" w:space="0"/>
            </w:tcBorders>
            <w:vAlign w:val="center"/>
          </w:tcPr>
          <w:p>
            <w:pPr>
              <w:pStyle w:val="74"/>
              <w:tabs>
                <w:tab w:val="left" w:pos="1050"/>
              </w:tabs>
              <w:spacing w:line="320" w:lineRule="exact"/>
              <w:ind w:left="12" w:hanging="12" w:hangingChars="5"/>
              <w:jc w:val="center"/>
              <w:rPr>
                <w:rFonts w:ascii="Times New Roman" w:eastAsia="楷体_GB2312"/>
                <w:sz w:val="24"/>
                <w:szCs w:val="24"/>
              </w:rPr>
            </w:pPr>
            <w:r>
              <w:rPr>
                <w:rFonts w:ascii="Times New Roman" w:eastAsia="楷体_GB2312"/>
                <w:sz w:val="24"/>
                <w:szCs w:val="24"/>
              </w:rPr>
              <w:t>体系管理文件</w:t>
            </w:r>
          </w:p>
        </w:tc>
        <w:tc>
          <w:tcPr>
            <w:tcW w:w="1417" w:type="dxa"/>
            <w:tcBorders>
              <w:top w:val="single" w:color="auto" w:sz="6" w:space="0"/>
            </w:tcBorders>
            <w:vAlign w:val="center"/>
          </w:tcPr>
          <w:p>
            <w:pPr>
              <w:pStyle w:val="74"/>
              <w:tabs>
                <w:tab w:val="left" w:pos="1050"/>
              </w:tabs>
              <w:spacing w:line="320" w:lineRule="exact"/>
              <w:ind w:left="12" w:hanging="12" w:hangingChars="5"/>
              <w:jc w:val="center"/>
              <w:rPr>
                <w:rFonts w:ascii="Times New Roman" w:eastAsia="楷体_GB2312"/>
                <w:sz w:val="24"/>
                <w:szCs w:val="24"/>
              </w:rPr>
            </w:pPr>
            <w:r>
              <w:rPr>
                <w:rFonts w:ascii="Times New Roman" w:eastAsia="楷体_GB2312"/>
                <w:sz w:val="24"/>
                <w:szCs w:val="24"/>
              </w:rPr>
              <w:t>15</w:t>
            </w:r>
          </w:p>
        </w:tc>
        <w:tc>
          <w:tcPr>
            <w:tcW w:w="5448" w:type="dxa"/>
            <w:tcBorders>
              <w:top w:val="single" w:color="auto" w:sz="6" w:space="0"/>
            </w:tcBorders>
            <w:vAlign w:val="center"/>
          </w:tcPr>
          <w:p>
            <w:pPr>
              <w:pStyle w:val="25"/>
              <w:widowControl w:val="0"/>
              <w:spacing w:before="0" w:beforeAutospacing="0" w:after="0" w:afterAutospacing="0" w:line="320" w:lineRule="exact"/>
              <w:outlineLvl w:val="0"/>
              <w:rPr>
                <w:rFonts w:ascii="Times New Roman" w:hAnsi="Times New Roman" w:eastAsia="楷体_GB2312" w:cs="Times New Roman"/>
                <w:kern w:val="2"/>
              </w:rPr>
            </w:pPr>
            <w:r>
              <w:rPr>
                <w:rFonts w:ascii="Times New Roman" w:hAnsi="Times New Roman" w:eastAsia="楷体_GB2312" w:cs="Times New Roman"/>
                <w:kern w:val="2"/>
                <w:lang w:eastAsia="zh-Hans"/>
              </w:rPr>
              <w:t>供应商的</w:t>
            </w:r>
            <w:r>
              <w:rPr>
                <w:rFonts w:ascii="Times New Roman" w:hAnsi="Times New Roman" w:eastAsia="楷体_GB2312" w:cs="Times New Roman"/>
                <w:kern w:val="2"/>
              </w:rPr>
              <w:t>有效的质量管理体系认证证书、环境管理体系认证证书、职业健康安全管理体系认证证书，每具备一项得5分，最高得15分。</w:t>
            </w:r>
          </w:p>
          <w:p>
            <w:pPr>
              <w:pStyle w:val="25"/>
              <w:widowControl w:val="0"/>
              <w:spacing w:before="0" w:beforeAutospacing="0" w:after="0" w:afterAutospacing="0" w:line="320" w:lineRule="exact"/>
              <w:outlineLvl w:val="0"/>
              <w:rPr>
                <w:rFonts w:ascii="Times New Roman" w:hAnsi="Times New Roman" w:eastAsia="楷体_GB2312" w:cs="Times New Roman"/>
                <w:kern w:val="2"/>
              </w:rPr>
            </w:pPr>
            <w:r>
              <w:rPr>
                <w:rFonts w:ascii="Times New Roman" w:hAnsi="Times New Roman" w:eastAsia="楷体_GB2312" w:cs="Times New Roman"/>
                <w:kern w:val="2"/>
              </w:rPr>
              <w:t>注：提供有效证书扫描件且证书在有效期内，同时提供相关证书在全国认证认可信息公共服务平台官网（http://cx.cnca.cn/）的认证信息截图。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876" w:hRule="atLeast"/>
        </w:trPr>
        <w:tc>
          <w:tcPr>
            <w:tcW w:w="784" w:type="dxa"/>
            <w:tcBorders>
              <w:top w:val="single" w:color="auto" w:sz="6" w:space="0"/>
            </w:tcBorders>
            <w:vAlign w:val="center"/>
          </w:tcPr>
          <w:p>
            <w:pPr>
              <w:pStyle w:val="74"/>
              <w:tabs>
                <w:tab w:val="left" w:pos="1050"/>
              </w:tabs>
              <w:spacing w:line="320" w:lineRule="exact"/>
              <w:ind w:left="12" w:hanging="12" w:hangingChars="5"/>
              <w:jc w:val="center"/>
              <w:rPr>
                <w:rFonts w:ascii="Times New Roman" w:eastAsia="楷体_GB2312"/>
                <w:sz w:val="24"/>
                <w:szCs w:val="24"/>
              </w:rPr>
            </w:pPr>
            <w:r>
              <w:rPr>
                <w:rFonts w:ascii="Times New Roman" w:eastAsia="楷体_GB2312"/>
                <w:sz w:val="24"/>
                <w:szCs w:val="24"/>
              </w:rPr>
              <w:t>5</w:t>
            </w:r>
          </w:p>
        </w:tc>
        <w:tc>
          <w:tcPr>
            <w:tcW w:w="1309" w:type="dxa"/>
            <w:tcBorders>
              <w:top w:val="single" w:color="auto" w:sz="6" w:space="0"/>
            </w:tcBorders>
            <w:vAlign w:val="center"/>
          </w:tcPr>
          <w:p>
            <w:pPr>
              <w:spacing w:line="320" w:lineRule="exact"/>
              <w:jc w:val="center"/>
              <w:rPr>
                <w:rFonts w:eastAsia="楷体_GB2312"/>
                <w:sz w:val="24"/>
                <w:lang w:eastAsia="zh-Hans"/>
              </w:rPr>
            </w:pPr>
            <w:r>
              <w:rPr>
                <w:rFonts w:eastAsia="楷体_GB2312"/>
                <w:bCs/>
                <w:sz w:val="24"/>
              </w:rPr>
              <w:t>《信用中国》查询情况</w:t>
            </w:r>
          </w:p>
        </w:tc>
        <w:tc>
          <w:tcPr>
            <w:tcW w:w="1417" w:type="dxa"/>
            <w:tcBorders>
              <w:top w:val="single" w:color="auto" w:sz="6" w:space="0"/>
            </w:tcBorders>
            <w:vAlign w:val="center"/>
          </w:tcPr>
          <w:p>
            <w:pPr>
              <w:spacing w:line="320" w:lineRule="exact"/>
              <w:jc w:val="center"/>
              <w:rPr>
                <w:rFonts w:eastAsia="楷体_GB2312"/>
                <w:sz w:val="24"/>
              </w:rPr>
            </w:pPr>
            <w:r>
              <w:rPr>
                <w:rFonts w:eastAsia="楷体_GB2312"/>
                <w:sz w:val="24"/>
              </w:rPr>
              <w:t>20</w:t>
            </w:r>
          </w:p>
        </w:tc>
        <w:tc>
          <w:tcPr>
            <w:tcW w:w="5448" w:type="dxa"/>
            <w:tcBorders>
              <w:top w:val="single" w:color="auto" w:sz="6" w:space="0"/>
            </w:tcBorders>
            <w:vAlign w:val="center"/>
          </w:tcPr>
          <w:p>
            <w:pPr>
              <w:pStyle w:val="74"/>
              <w:tabs>
                <w:tab w:val="left" w:pos="1050"/>
              </w:tabs>
              <w:spacing w:line="320" w:lineRule="exact"/>
              <w:ind w:firstLine="0"/>
              <w:rPr>
                <w:rFonts w:ascii="Times New Roman" w:eastAsia="楷体_GB2312"/>
                <w:sz w:val="24"/>
                <w:szCs w:val="24"/>
              </w:rPr>
            </w:pPr>
            <w:r>
              <w:rPr>
                <w:rFonts w:ascii="Times New Roman" w:eastAsia="楷体_GB2312"/>
                <w:sz w:val="24"/>
                <w:szCs w:val="24"/>
              </w:rPr>
              <w:t>在该网站未被列入失信被执行人名单基础上，按下列标准评分：</w:t>
            </w:r>
          </w:p>
          <w:p>
            <w:pPr>
              <w:pStyle w:val="74"/>
              <w:tabs>
                <w:tab w:val="left" w:pos="1050"/>
              </w:tabs>
              <w:spacing w:line="320" w:lineRule="exact"/>
              <w:ind w:firstLine="0"/>
              <w:rPr>
                <w:rFonts w:ascii="Times New Roman" w:eastAsia="楷体_GB2312"/>
                <w:sz w:val="24"/>
                <w:szCs w:val="24"/>
              </w:rPr>
            </w:pPr>
            <w:r>
              <w:rPr>
                <w:rFonts w:ascii="Times New Roman" w:eastAsia="楷体_GB2312"/>
                <w:sz w:val="24"/>
                <w:szCs w:val="24"/>
              </w:rPr>
              <w:t>在该网站无处罚记录，得20分；</w:t>
            </w:r>
          </w:p>
          <w:p>
            <w:pPr>
              <w:pStyle w:val="74"/>
              <w:tabs>
                <w:tab w:val="left" w:pos="1050"/>
              </w:tabs>
              <w:spacing w:line="320" w:lineRule="exact"/>
              <w:ind w:firstLine="0"/>
              <w:rPr>
                <w:rFonts w:ascii="Times New Roman" w:eastAsia="楷体_GB2312"/>
                <w:sz w:val="24"/>
                <w:szCs w:val="24"/>
              </w:rPr>
            </w:pPr>
            <w:r>
              <w:rPr>
                <w:rFonts w:ascii="Times New Roman" w:eastAsia="楷体_GB2312"/>
                <w:sz w:val="24"/>
                <w:szCs w:val="24"/>
              </w:rPr>
              <w:t>在该网站仅是一般处罚记录，且无罚款记录，得10分；</w:t>
            </w:r>
          </w:p>
          <w:p>
            <w:pPr>
              <w:pStyle w:val="74"/>
              <w:tabs>
                <w:tab w:val="left" w:pos="1050"/>
              </w:tabs>
              <w:spacing w:line="320" w:lineRule="exact"/>
              <w:ind w:firstLine="0"/>
              <w:rPr>
                <w:rFonts w:ascii="Times New Roman" w:eastAsia="楷体_GB2312"/>
                <w:sz w:val="24"/>
                <w:szCs w:val="24"/>
              </w:rPr>
            </w:pPr>
            <w:r>
              <w:rPr>
                <w:rFonts w:ascii="Times New Roman" w:eastAsia="楷体_GB2312"/>
                <w:sz w:val="24"/>
                <w:szCs w:val="24"/>
              </w:rPr>
              <w:t>在该网站仅是一般处罚记录，且有罚款记录，罚款1000元（不含）以内得5分；</w:t>
            </w:r>
          </w:p>
          <w:p>
            <w:pPr>
              <w:pStyle w:val="74"/>
              <w:tabs>
                <w:tab w:val="left" w:pos="1050"/>
              </w:tabs>
              <w:spacing w:line="320" w:lineRule="exact"/>
              <w:ind w:firstLine="0"/>
              <w:rPr>
                <w:rFonts w:ascii="Times New Roman" w:eastAsia="楷体_GB2312"/>
                <w:sz w:val="24"/>
                <w:szCs w:val="24"/>
              </w:rPr>
            </w:pPr>
            <w:r>
              <w:rPr>
                <w:rFonts w:ascii="Times New Roman" w:eastAsia="楷体_GB2312"/>
                <w:sz w:val="24"/>
                <w:szCs w:val="24"/>
              </w:rPr>
              <w:t>在该网站仅是一般处罚记录，且有罚款记录，罚款</w:t>
            </w:r>
            <w:r>
              <w:rPr>
                <w:rFonts w:hint="eastAsia" w:asciiTheme="minorEastAsia" w:hAnsiTheme="minorEastAsia" w:eastAsiaTheme="minorEastAsia" w:cstheme="minorEastAsia"/>
                <w:sz w:val="21"/>
                <w:szCs w:val="21"/>
              </w:rPr>
              <w:t>【</w:t>
            </w:r>
            <w:r>
              <w:rPr>
                <w:rFonts w:ascii="Times New Roman" w:eastAsia="楷体_GB2312"/>
                <w:sz w:val="24"/>
                <w:szCs w:val="24"/>
              </w:rPr>
              <w:t>1000-10000）元以内得2分；</w:t>
            </w:r>
          </w:p>
          <w:p>
            <w:pPr>
              <w:pStyle w:val="74"/>
              <w:tabs>
                <w:tab w:val="left" w:pos="1050"/>
              </w:tabs>
              <w:spacing w:line="320" w:lineRule="exact"/>
              <w:ind w:firstLine="0"/>
              <w:rPr>
                <w:rFonts w:ascii="Times New Roman" w:eastAsia="楷体_GB2312"/>
                <w:sz w:val="24"/>
                <w:szCs w:val="24"/>
              </w:rPr>
            </w:pPr>
            <w:r>
              <w:rPr>
                <w:rFonts w:ascii="Times New Roman" w:eastAsia="楷体_GB2312"/>
                <w:sz w:val="24"/>
                <w:szCs w:val="24"/>
              </w:rPr>
              <w:t>在该网站仅是一般处罚记录，且有罚款记录，罚款【10000</w:t>
            </w:r>
            <w:r>
              <w:rPr>
                <w:rFonts w:hint="eastAsia" w:ascii="Times New Roman" w:eastAsia="楷体_GB2312"/>
                <w:sz w:val="24"/>
                <w:szCs w:val="24"/>
              </w:rPr>
              <w:t>-</w:t>
            </w:r>
            <w:r>
              <w:rPr>
                <w:rFonts w:ascii="Times New Roman" w:eastAsia="楷体_GB2312"/>
                <w:sz w:val="24"/>
                <w:szCs w:val="24"/>
              </w:rPr>
              <w:t>100000】元得1分：</w:t>
            </w:r>
          </w:p>
          <w:p>
            <w:pPr>
              <w:pStyle w:val="74"/>
              <w:tabs>
                <w:tab w:val="left" w:pos="1050"/>
              </w:tabs>
              <w:spacing w:line="320" w:lineRule="exact"/>
              <w:ind w:firstLine="0"/>
              <w:rPr>
                <w:rFonts w:ascii="Times New Roman" w:eastAsia="楷体_GB2312"/>
                <w:sz w:val="24"/>
                <w:szCs w:val="24"/>
              </w:rPr>
            </w:pPr>
            <w:r>
              <w:rPr>
                <w:rFonts w:ascii="Times New Roman" w:eastAsia="楷体_GB2312"/>
                <w:sz w:val="24"/>
                <w:szCs w:val="24"/>
              </w:rPr>
              <w:t>罚款超过10万元得0分。</w:t>
            </w:r>
          </w:p>
        </w:tc>
      </w:tr>
    </w:tbl>
    <w:p>
      <w:pPr>
        <w:spacing w:line="500" w:lineRule="exact"/>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4"/>
        <w:gridCol w:w="1087"/>
        <w:gridCol w:w="1134"/>
        <w:gridCol w:w="595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46" w:hRule="atLeast"/>
        </w:trPr>
        <w:tc>
          <w:tcPr>
            <w:tcW w:w="784" w:type="dxa"/>
            <w:tcBorders>
              <w:top w:val="single" w:color="auto" w:sz="6" w:space="0"/>
            </w:tcBorders>
            <w:vAlign w:val="center"/>
          </w:tcPr>
          <w:p>
            <w:pPr>
              <w:pStyle w:val="74"/>
              <w:tabs>
                <w:tab w:val="left" w:pos="1050"/>
              </w:tabs>
              <w:snapToGrid w:val="0"/>
              <w:spacing w:line="360" w:lineRule="auto"/>
              <w:ind w:left="12" w:hanging="12" w:hangingChars="5"/>
              <w:jc w:val="center"/>
              <w:rPr>
                <w:rFonts w:ascii="Times New Roman" w:eastAsia="楷体_GB2312"/>
                <w:sz w:val="24"/>
                <w:szCs w:val="24"/>
              </w:rPr>
            </w:pPr>
            <w:r>
              <w:rPr>
                <w:rFonts w:ascii="Times New Roman" w:eastAsia="楷体_GB2312"/>
                <w:sz w:val="24"/>
                <w:szCs w:val="24"/>
              </w:rPr>
              <w:t>6</w:t>
            </w:r>
          </w:p>
        </w:tc>
        <w:tc>
          <w:tcPr>
            <w:tcW w:w="1087" w:type="dxa"/>
            <w:tcBorders>
              <w:top w:val="single" w:color="auto" w:sz="6" w:space="0"/>
            </w:tcBorders>
            <w:vAlign w:val="center"/>
          </w:tcPr>
          <w:p>
            <w:pPr>
              <w:snapToGrid w:val="0"/>
              <w:spacing w:line="360" w:lineRule="auto"/>
              <w:jc w:val="center"/>
              <w:rPr>
                <w:rFonts w:eastAsia="楷体_GB2312"/>
                <w:color w:val="000000"/>
                <w:kern w:val="0"/>
                <w:sz w:val="24"/>
              </w:rPr>
            </w:pPr>
            <w:r>
              <w:rPr>
                <w:rFonts w:eastAsia="楷体_GB2312"/>
                <w:color w:val="000000"/>
                <w:kern w:val="0"/>
                <w:sz w:val="24"/>
              </w:rPr>
              <w:t>证书</w:t>
            </w:r>
          </w:p>
        </w:tc>
        <w:tc>
          <w:tcPr>
            <w:tcW w:w="1134" w:type="dxa"/>
            <w:tcBorders>
              <w:top w:val="single" w:color="auto" w:sz="6" w:space="0"/>
            </w:tcBorders>
            <w:vAlign w:val="center"/>
          </w:tcPr>
          <w:p>
            <w:pPr>
              <w:snapToGrid w:val="0"/>
              <w:spacing w:line="360" w:lineRule="auto"/>
              <w:jc w:val="center"/>
              <w:rPr>
                <w:rFonts w:eastAsia="楷体_GB2312"/>
                <w:sz w:val="24"/>
              </w:rPr>
            </w:pPr>
            <w:r>
              <w:rPr>
                <w:rFonts w:eastAsia="楷体_GB2312"/>
                <w:sz w:val="24"/>
              </w:rPr>
              <w:t>10</w:t>
            </w:r>
          </w:p>
        </w:tc>
        <w:tc>
          <w:tcPr>
            <w:tcW w:w="5953" w:type="dxa"/>
            <w:tcBorders>
              <w:top w:val="single" w:color="auto" w:sz="6" w:space="0"/>
            </w:tcBorders>
            <w:vAlign w:val="center"/>
          </w:tcPr>
          <w:p>
            <w:pPr>
              <w:widowControl/>
              <w:spacing w:line="360" w:lineRule="auto"/>
              <w:jc w:val="left"/>
              <w:rPr>
                <w:rFonts w:eastAsia="楷体_GB2312"/>
                <w:kern w:val="0"/>
                <w:sz w:val="24"/>
                <w:lang w:bidi="ar"/>
              </w:rPr>
            </w:pPr>
            <w:r>
              <w:rPr>
                <w:rFonts w:eastAsia="楷体_GB2312"/>
                <w:sz w:val="24"/>
              </w:rPr>
              <w:t>供应商具有高新技术企业证书得10分。</w:t>
            </w:r>
          </w:p>
          <w:p>
            <w:pPr>
              <w:spacing w:line="360" w:lineRule="auto"/>
              <w:jc w:val="left"/>
              <w:rPr>
                <w:rFonts w:eastAsia="楷体_GB2312"/>
                <w:sz w:val="24"/>
              </w:rPr>
            </w:pPr>
            <w:r>
              <w:rPr>
                <w:rFonts w:eastAsia="楷体_GB2312"/>
                <w:sz w:val="24"/>
                <w:lang w:bidi="ar"/>
              </w:rPr>
              <w:t>注</w:t>
            </w:r>
            <w:r>
              <w:rPr>
                <w:rFonts w:hint="eastAsia" w:eastAsia="楷体_GB2312"/>
                <w:sz w:val="24"/>
                <w:lang w:eastAsia="zh-CN" w:bidi="ar"/>
              </w:rPr>
              <w:t>：</w:t>
            </w:r>
            <w:r>
              <w:rPr>
                <w:rFonts w:eastAsia="楷体_GB2312"/>
                <w:sz w:val="24"/>
                <w:lang w:bidi="ar"/>
              </w:rPr>
              <w:t>需提供有效的证书扫描件</w:t>
            </w:r>
            <w:r>
              <w:rPr>
                <w:rFonts w:eastAsia="楷体_GB2312"/>
                <w:kern w:val="0"/>
                <w:sz w:val="24"/>
              </w:rPr>
              <w:t>，</w:t>
            </w:r>
            <w:r>
              <w:rPr>
                <w:rFonts w:eastAsia="楷体_GB2312"/>
                <w:spacing w:val="-1"/>
                <w:kern w:val="0"/>
                <w:sz w:val="24"/>
              </w:rPr>
              <w:t>否则不予以计分。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1431" w:hRule="atLeast"/>
        </w:trPr>
        <w:tc>
          <w:tcPr>
            <w:tcW w:w="784" w:type="dxa"/>
            <w:tcBorders>
              <w:top w:val="single" w:color="auto" w:sz="6" w:space="0"/>
            </w:tcBorders>
            <w:vAlign w:val="center"/>
          </w:tcPr>
          <w:p>
            <w:pPr>
              <w:pStyle w:val="74"/>
              <w:tabs>
                <w:tab w:val="left" w:pos="1050"/>
              </w:tabs>
              <w:snapToGrid w:val="0"/>
              <w:spacing w:line="360" w:lineRule="auto"/>
              <w:ind w:left="12" w:hanging="12" w:hangingChars="5"/>
              <w:jc w:val="center"/>
              <w:rPr>
                <w:rFonts w:ascii="Times New Roman" w:eastAsia="楷体_GB2312"/>
                <w:sz w:val="24"/>
                <w:szCs w:val="24"/>
              </w:rPr>
            </w:pPr>
            <w:r>
              <w:rPr>
                <w:rFonts w:ascii="Times New Roman" w:eastAsia="楷体_GB2312"/>
                <w:sz w:val="24"/>
                <w:szCs w:val="24"/>
              </w:rPr>
              <w:t>7</w:t>
            </w:r>
          </w:p>
        </w:tc>
        <w:tc>
          <w:tcPr>
            <w:tcW w:w="1087" w:type="dxa"/>
            <w:tcBorders>
              <w:top w:val="single" w:color="auto" w:sz="6" w:space="0"/>
            </w:tcBorders>
            <w:vAlign w:val="center"/>
          </w:tcPr>
          <w:p>
            <w:pPr>
              <w:snapToGrid w:val="0"/>
              <w:spacing w:line="360" w:lineRule="auto"/>
              <w:jc w:val="center"/>
              <w:rPr>
                <w:rFonts w:eastAsia="楷体_GB2312"/>
                <w:color w:val="000000"/>
                <w:kern w:val="0"/>
                <w:sz w:val="24"/>
                <w:lang w:eastAsia="zh-Hans"/>
              </w:rPr>
            </w:pPr>
            <w:r>
              <w:rPr>
                <w:rFonts w:eastAsia="楷体_GB2312"/>
                <w:kern w:val="0"/>
                <w:sz w:val="24"/>
              </w:rPr>
              <w:t>纳税信用</w:t>
            </w:r>
          </w:p>
        </w:tc>
        <w:tc>
          <w:tcPr>
            <w:tcW w:w="1134" w:type="dxa"/>
            <w:tcBorders>
              <w:top w:val="single" w:color="auto" w:sz="6" w:space="0"/>
            </w:tcBorders>
            <w:vAlign w:val="center"/>
          </w:tcPr>
          <w:p>
            <w:pPr>
              <w:snapToGrid w:val="0"/>
              <w:spacing w:line="360" w:lineRule="auto"/>
              <w:jc w:val="center"/>
              <w:rPr>
                <w:rFonts w:eastAsia="楷体_GB2312"/>
                <w:sz w:val="24"/>
              </w:rPr>
            </w:pPr>
            <w:r>
              <w:rPr>
                <w:rFonts w:eastAsia="楷体_GB2312"/>
                <w:sz w:val="24"/>
              </w:rPr>
              <w:t>10</w:t>
            </w:r>
          </w:p>
        </w:tc>
        <w:tc>
          <w:tcPr>
            <w:tcW w:w="5953" w:type="dxa"/>
            <w:tcBorders>
              <w:top w:val="single" w:color="auto" w:sz="6" w:space="0"/>
            </w:tcBorders>
            <w:vAlign w:val="center"/>
          </w:tcPr>
          <w:p>
            <w:pPr>
              <w:spacing w:line="360" w:lineRule="auto"/>
              <w:jc w:val="left"/>
              <w:rPr>
                <w:rFonts w:eastAsia="楷体_GB2312"/>
                <w:color w:val="FF0000"/>
                <w:sz w:val="24"/>
              </w:rPr>
            </w:pPr>
            <w:r>
              <w:rPr>
                <w:rFonts w:eastAsia="楷体_GB2312"/>
                <w:kern w:val="0"/>
                <w:sz w:val="24"/>
              </w:rPr>
              <w:t>提供纳税信用证明材料：2020年</w:t>
            </w:r>
            <w:r>
              <w:rPr>
                <w:rFonts w:hint="eastAsia" w:eastAsia="楷体_GB2312"/>
                <w:kern w:val="0"/>
                <w:sz w:val="24"/>
                <w:lang w:val="en-US" w:eastAsia="zh-CN"/>
              </w:rPr>
              <w:t>至</w:t>
            </w:r>
            <w:r>
              <w:rPr>
                <w:rFonts w:eastAsia="楷体_GB2312"/>
                <w:kern w:val="0"/>
                <w:sz w:val="24"/>
              </w:rPr>
              <w:t>2022年度或2021年</w:t>
            </w:r>
            <w:r>
              <w:rPr>
                <w:rFonts w:hint="eastAsia" w:eastAsia="楷体_GB2312"/>
                <w:kern w:val="0"/>
                <w:sz w:val="24"/>
                <w:lang w:val="en-US" w:eastAsia="zh-CN"/>
              </w:rPr>
              <w:t>至</w:t>
            </w:r>
            <w:r>
              <w:rPr>
                <w:rFonts w:eastAsia="楷体_GB2312"/>
                <w:kern w:val="0"/>
                <w:sz w:val="24"/>
              </w:rPr>
              <w:t>2023年度获得3连A及以上的</w:t>
            </w:r>
            <w:r>
              <w:rPr>
                <w:rFonts w:hint="eastAsia" w:eastAsia="楷体_GB2312"/>
                <w:kern w:val="0"/>
                <w:sz w:val="24"/>
                <w:lang w:eastAsia="zh-CN"/>
              </w:rPr>
              <w:t>，</w:t>
            </w:r>
            <w:r>
              <w:rPr>
                <w:rFonts w:eastAsia="楷体_GB2312"/>
                <w:kern w:val="0"/>
                <w:sz w:val="24"/>
              </w:rPr>
              <w:t>得10分；获得2连A的，得5分；其他不得分。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81" w:hRule="atLeast"/>
        </w:trPr>
        <w:tc>
          <w:tcPr>
            <w:tcW w:w="1871" w:type="dxa"/>
            <w:gridSpan w:val="2"/>
            <w:vAlign w:val="center"/>
          </w:tcPr>
          <w:p>
            <w:pPr>
              <w:pStyle w:val="74"/>
              <w:tabs>
                <w:tab w:val="left" w:pos="1050"/>
              </w:tabs>
              <w:snapToGrid w:val="0"/>
              <w:spacing w:line="360" w:lineRule="auto"/>
              <w:ind w:left="12" w:hanging="12" w:hangingChars="5"/>
              <w:jc w:val="center"/>
              <w:rPr>
                <w:rFonts w:ascii="Times New Roman" w:eastAsia="楷体_GB2312"/>
                <w:sz w:val="24"/>
                <w:szCs w:val="24"/>
              </w:rPr>
            </w:pPr>
            <w:r>
              <w:rPr>
                <w:rFonts w:ascii="Times New Roman" w:eastAsia="楷体_GB2312"/>
                <w:sz w:val="24"/>
                <w:szCs w:val="24"/>
              </w:rPr>
              <w:t>合计</w:t>
            </w:r>
          </w:p>
        </w:tc>
        <w:tc>
          <w:tcPr>
            <w:tcW w:w="1134" w:type="dxa"/>
            <w:vAlign w:val="center"/>
          </w:tcPr>
          <w:p>
            <w:pPr>
              <w:pStyle w:val="74"/>
              <w:tabs>
                <w:tab w:val="left" w:pos="1050"/>
              </w:tabs>
              <w:snapToGrid w:val="0"/>
              <w:spacing w:line="360" w:lineRule="auto"/>
              <w:ind w:left="12" w:hanging="12" w:hangingChars="5"/>
              <w:jc w:val="center"/>
              <w:rPr>
                <w:rFonts w:ascii="Times New Roman" w:eastAsia="楷体_GB2312"/>
                <w:sz w:val="24"/>
                <w:szCs w:val="24"/>
              </w:rPr>
            </w:pPr>
            <w:r>
              <w:rPr>
                <w:rFonts w:ascii="Times New Roman" w:eastAsia="楷体_GB2312"/>
                <w:sz w:val="24"/>
                <w:szCs w:val="24"/>
              </w:rPr>
              <w:t>100</w:t>
            </w:r>
          </w:p>
        </w:tc>
        <w:tc>
          <w:tcPr>
            <w:tcW w:w="5953" w:type="dxa"/>
            <w:vAlign w:val="center"/>
          </w:tcPr>
          <w:p>
            <w:pPr>
              <w:pStyle w:val="74"/>
              <w:tabs>
                <w:tab w:val="left" w:pos="1050"/>
              </w:tabs>
              <w:snapToGrid w:val="0"/>
              <w:spacing w:line="360" w:lineRule="auto"/>
              <w:ind w:left="12" w:hanging="12" w:hangingChars="5"/>
              <w:jc w:val="center"/>
              <w:rPr>
                <w:rFonts w:ascii="Times New Roman" w:eastAsia="楷体_GB2312"/>
                <w:sz w:val="24"/>
                <w:szCs w:val="24"/>
              </w:rPr>
            </w:pPr>
          </w:p>
        </w:tc>
      </w:tr>
    </w:tbl>
    <w:p>
      <w:pPr>
        <w:spacing w:line="360" w:lineRule="auto"/>
        <w:ind w:firstLine="240" w:firstLineChars="100"/>
        <w:rPr>
          <w:rFonts w:eastAsia="楷体_GB2312"/>
          <w:sz w:val="24"/>
        </w:rPr>
      </w:pPr>
      <w:r>
        <w:rPr>
          <w:rFonts w:eastAsia="楷体_GB2312"/>
          <w:sz w:val="24"/>
        </w:rPr>
        <w:t>备注：“（ ）”指不包含本数，“【】”指包含本数，如（15-25】得分范围16-25分。</w:t>
      </w:r>
    </w:p>
    <w:p>
      <w:pPr>
        <w:pStyle w:val="84"/>
        <w:rPr>
          <w:rFonts w:ascii="Times New Roman" w:cs="宋体"/>
          <w:szCs w:val="21"/>
        </w:rPr>
      </w:pPr>
    </w:p>
    <w:p>
      <w:bookmarkStart w:id="121" w:name="_Toc14818"/>
      <w:bookmarkStart w:id="122" w:name="_Toc18459"/>
      <w:r>
        <w:rPr>
          <w:rFonts w:hint="eastAsia"/>
        </w:rPr>
        <w:br w:type="page"/>
      </w:r>
    </w:p>
    <w:p>
      <w:pPr>
        <w:pStyle w:val="4"/>
        <w:widowControl/>
        <w:spacing w:line="360" w:lineRule="auto"/>
        <w:ind w:firstLine="0" w:firstLineChars="0"/>
        <w:jc w:val="left"/>
        <w:rPr>
          <w:rFonts w:hint="eastAsia" w:ascii="黑体" w:hAnsi="黑体" w:eastAsia="黑体"/>
          <w:b w:val="0"/>
          <w:bCs w:val="0"/>
        </w:rPr>
      </w:pPr>
      <w:bookmarkStart w:id="123" w:name="_Toc162967110"/>
      <w:bookmarkStart w:id="124" w:name="_Toc12779"/>
      <w:r>
        <w:rPr>
          <w:rFonts w:hint="eastAsia" w:ascii="黑体" w:hAnsi="黑体" w:eastAsia="黑体"/>
          <w:b w:val="0"/>
          <w:bCs w:val="0"/>
        </w:rPr>
        <w:t xml:space="preserve">附件2 </w:t>
      </w:r>
    </w:p>
    <w:p>
      <w:pPr>
        <w:pStyle w:val="4"/>
        <w:widowControl/>
        <w:spacing w:line="360" w:lineRule="auto"/>
        <w:ind w:firstLine="0" w:firstLineChars="0"/>
        <w:jc w:val="center"/>
        <w:rPr>
          <w:rFonts w:hint="eastAsia" w:ascii="方正小标宋简体" w:hAnsi="黑体" w:eastAsia="方正小标宋简体"/>
          <w:b w:val="0"/>
          <w:bCs w:val="0"/>
          <w:sz w:val="44"/>
          <w:szCs w:val="44"/>
        </w:rPr>
      </w:pPr>
      <w:r>
        <w:rPr>
          <w:rFonts w:hint="eastAsia" w:ascii="方正小标宋简体" w:hAnsi="黑体" w:eastAsia="方正小标宋简体"/>
          <w:b w:val="0"/>
          <w:bCs w:val="0"/>
          <w:sz w:val="44"/>
          <w:szCs w:val="44"/>
        </w:rPr>
        <w:t>技术评分表</w:t>
      </w:r>
      <w:bookmarkEnd w:id="121"/>
      <w:bookmarkEnd w:id="122"/>
      <w:bookmarkEnd w:id="123"/>
      <w:bookmarkEnd w:id="124"/>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559"/>
        <w:gridCol w:w="1069"/>
        <w:gridCol w:w="5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trPr>
        <w:tc>
          <w:tcPr>
            <w:tcW w:w="663" w:type="dxa"/>
            <w:shd w:val="clear" w:color="000000" w:fill="auto"/>
            <w:vAlign w:val="center"/>
          </w:tcPr>
          <w:p>
            <w:pPr>
              <w:snapToGrid w:val="0"/>
              <w:spacing w:line="380" w:lineRule="exact"/>
              <w:jc w:val="center"/>
              <w:rPr>
                <w:rFonts w:eastAsia="楷体_GB2312"/>
                <w:b/>
                <w:sz w:val="24"/>
              </w:rPr>
            </w:pPr>
            <w:r>
              <w:rPr>
                <w:rFonts w:eastAsia="楷体_GB2312"/>
                <w:b/>
                <w:sz w:val="24"/>
              </w:rPr>
              <w:t>序号</w:t>
            </w:r>
          </w:p>
        </w:tc>
        <w:tc>
          <w:tcPr>
            <w:tcW w:w="1559" w:type="dxa"/>
            <w:shd w:val="clear" w:color="000000" w:fill="auto"/>
            <w:vAlign w:val="center"/>
          </w:tcPr>
          <w:p>
            <w:pPr>
              <w:snapToGrid w:val="0"/>
              <w:spacing w:line="380" w:lineRule="exact"/>
              <w:jc w:val="center"/>
              <w:rPr>
                <w:rFonts w:eastAsia="楷体_GB2312"/>
                <w:b/>
                <w:sz w:val="24"/>
              </w:rPr>
            </w:pPr>
            <w:r>
              <w:rPr>
                <w:rFonts w:eastAsia="楷体_GB2312"/>
                <w:b/>
                <w:sz w:val="24"/>
              </w:rPr>
              <w:t>评审项目</w:t>
            </w:r>
          </w:p>
        </w:tc>
        <w:tc>
          <w:tcPr>
            <w:tcW w:w="1069" w:type="dxa"/>
            <w:shd w:val="clear" w:color="000000" w:fill="auto"/>
            <w:vAlign w:val="center"/>
          </w:tcPr>
          <w:p>
            <w:pPr>
              <w:snapToGrid w:val="0"/>
              <w:spacing w:line="380" w:lineRule="exact"/>
              <w:jc w:val="center"/>
              <w:rPr>
                <w:rFonts w:eastAsia="楷体_GB2312"/>
                <w:b/>
                <w:sz w:val="24"/>
              </w:rPr>
            </w:pPr>
            <w:r>
              <w:rPr>
                <w:rFonts w:eastAsia="楷体_GB2312"/>
                <w:b/>
                <w:sz w:val="24"/>
              </w:rPr>
              <w:t>标准分数</w:t>
            </w:r>
          </w:p>
        </w:tc>
        <w:tc>
          <w:tcPr>
            <w:tcW w:w="5996" w:type="dxa"/>
            <w:shd w:val="clear" w:color="000000" w:fill="auto"/>
            <w:vAlign w:val="center"/>
          </w:tcPr>
          <w:p>
            <w:pPr>
              <w:snapToGrid w:val="0"/>
              <w:spacing w:line="380" w:lineRule="exact"/>
              <w:jc w:val="center"/>
              <w:rPr>
                <w:rFonts w:eastAsia="楷体_GB2312"/>
                <w:b/>
                <w:sz w:val="24"/>
              </w:rPr>
            </w:pPr>
            <w:r>
              <w:rPr>
                <w:rFonts w:eastAsia="楷体_GB2312"/>
                <w:b/>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2" w:hRule="atLeast"/>
        </w:trPr>
        <w:tc>
          <w:tcPr>
            <w:tcW w:w="663" w:type="dxa"/>
            <w:shd w:val="clear" w:color="000000" w:fill="FFFFFF"/>
            <w:vAlign w:val="center"/>
          </w:tcPr>
          <w:p>
            <w:pPr>
              <w:pStyle w:val="74"/>
              <w:tabs>
                <w:tab w:val="left" w:pos="1050"/>
              </w:tabs>
              <w:snapToGrid w:val="0"/>
              <w:spacing w:line="380" w:lineRule="exact"/>
              <w:ind w:left="12" w:hanging="12" w:hangingChars="5"/>
              <w:jc w:val="center"/>
              <w:rPr>
                <w:rFonts w:ascii="Times New Roman" w:eastAsia="楷体_GB2312"/>
                <w:sz w:val="24"/>
                <w:szCs w:val="24"/>
              </w:rPr>
            </w:pPr>
            <w:r>
              <w:rPr>
                <w:rFonts w:ascii="Times New Roman" w:eastAsia="楷体_GB2312"/>
                <w:sz w:val="24"/>
                <w:szCs w:val="24"/>
              </w:rPr>
              <w:t>1</w:t>
            </w:r>
          </w:p>
        </w:tc>
        <w:tc>
          <w:tcPr>
            <w:tcW w:w="1559" w:type="dxa"/>
            <w:vAlign w:val="center"/>
          </w:tcPr>
          <w:p>
            <w:pPr>
              <w:autoSpaceDE w:val="0"/>
              <w:autoSpaceDN w:val="0"/>
              <w:snapToGrid w:val="0"/>
              <w:spacing w:line="380" w:lineRule="exact"/>
              <w:jc w:val="center"/>
              <w:rPr>
                <w:rFonts w:eastAsia="楷体_GB2312"/>
                <w:sz w:val="24"/>
              </w:rPr>
            </w:pPr>
            <w:r>
              <w:rPr>
                <w:rFonts w:eastAsia="楷体_GB2312"/>
                <w:sz w:val="24"/>
              </w:rPr>
              <w:t>设备技术参数</w:t>
            </w:r>
          </w:p>
        </w:tc>
        <w:tc>
          <w:tcPr>
            <w:tcW w:w="1069" w:type="dxa"/>
            <w:vAlign w:val="center"/>
          </w:tcPr>
          <w:p>
            <w:pPr>
              <w:snapToGrid w:val="0"/>
              <w:spacing w:line="380" w:lineRule="exact"/>
              <w:jc w:val="center"/>
              <w:rPr>
                <w:rFonts w:eastAsia="楷体_GB2312"/>
                <w:sz w:val="24"/>
              </w:rPr>
            </w:pPr>
            <w:r>
              <w:rPr>
                <w:rFonts w:eastAsia="楷体_GB2312"/>
                <w:sz w:val="24"/>
              </w:rPr>
              <w:t>35</w:t>
            </w:r>
          </w:p>
        </w:tc>
        <w:tc>
          <w:tcPr>
            <w:tcW w:w="5996" w:type="dxa"/>
            <w:vAlign w:val="center"/>
          </w:tcPr>
          <w:p>
            <w:pPr>
              <w:pStyle w:val="13"/>
              <w:spacing w:line="380" w:lineRule="exact"/>
              <w:rPr>
                <w:rFonts w:ascii="Times New Roman" w:hAnsi="Times New Roman" w:eastAsia="楷体_GB2312"/>
                <w:sz w:val="24"/>
                <w:szCs w:val="24"/>
              </w:rPr>
            </w:pPr>
            <w:r>
              <w:rPr>
                <w:rFonts w:ascii="Times New Roman" w:hAnsi="Times New Roman" w:eastAsia="楷体_GB2312"/>
                <w:sz w:val="24"/>
                <w:szCs w:val="24"/>
              </w:rPr>
              <w:t>1</w:t>
            </w:r>
            <w:r>
              <w:rPr>
                <w:rFonts w:hint="eastAsia" w:ascii="Times New Roman" w:hAnsi="Times New Roman" w:eastAsia="楷体_GB2312"/>
                <w:sz w:val="24"/>
                <w:szCs w:val="24"/>
              </w:rPr>
              <w:t>.</w:t>
            </w:r>
            <w:r>
              <w:rPr>
                <w:rFonts w:ascii="Times New Roman" w:hAnsi="Times New Roman" w:eastAsia="楷体_GB2312"/>
                <w:sz w:val="24"/>
                <w:szCs w:val="24"/>
              </w:rPr>
              <w:t>技术参数完全满足采购文件第五章</w:t>
            </w:r>
            <w:r>
              <w:rPr>
                <w:rFonts w:ascii="Times New Roman" w:hAnsi="Times New Roman" w:eastAsia="楷体_GB2312"/>
                <w:b/>
                <w:bCs/>
                <w:sz w:val="24"/>
                <w:szCs w:val="24"/>
              </w:rPr>
              <w:t>工艺要求</w:t>
            </w:r>
            <w:r>
              <w:rPr>
                <w:rFonts w:ascii="Times New Roman" w:hAnsi="Times New Roman" w:eastAsia="楷体_GB2312"/>
                <w:sz w:val="24"/>
                <w:szCs w:val="24"/>
              </w:rPr>
              <w:t>的需求内容得10分，</w:t>
            </w:r>
            <w:r>
              <w:rPr>
                <w:rFonts w:ascii="Times New Roman" w:hAnsi="Times New Roman" w:eastAsia="楷体_GB2312"/>
                <w:b/>
                <w:bCs/>
                <w:sz w:val="24"/>
                <w:szCs w:val="24"/>
              </w:rPr>
              <w:t>重要</w:t>
            </w:r>
            <w:r>
              <w:rPr>
                <w:rFonts w:ascii="Times New Roman" w:hAnsi="Times New Roman" w:eastAsia="楷体_GB2312"/>
                <w:sz w:val="24"/>
                <w:szCs w:val="24"/>
              </w:rPr>
              <w:t>参数及功能项有负偏离或漏项的每一项扣1分</w:t>
            </w:r>
            <w:r>
              <w:rPr>
                <w:rFonts w:hint="eastAsia" w:ascii="Times New Roman" w:hAnsi="Times New Roman" w:eastAsia="楷体_GB2312"/>
                <w:sz w:val="24"/>
                <w:szCs w:val="24"/>
                <w:lang w:eastAsia="zh-CN"/>
              </w:rPr>
              <w:t>，</w:t>
            </w:r>
            <w:r>
              <w:rPr>
                <w:rFonts w:ascii="Times New Roman" w:hAnsi="Times New Roman" w:eastAsia="楷体_GB2312"/>
                <w:sz w:val="24"/>
                <w:szCs w:val="24"/>
              </w:rPr>
              <w:t xml:space="preserve"> </w:t>
            </w:r>
            <w:r>
              <w:rPr>
                <w:rFonts w:ascii="Times New Roman" w:hAnsi="Times New Roman" w:eastAsia="楷体_GB2312"/>
                <w:b/>
                <w:bCs/>
                <w:sz w:val="24"/>
                <w:szCs w:val="24"/>
              </w:rPr>
              <w:t>一般</w:t>
            </w:r>
            <w:r>
              <w:rPr>
                <w:rFonts w:ascii="Times New Roman" w:hAnsi="Times New Roman" w:eastAsia="楷体_GB2312"/>
                <w:sz w:val="24"/>
                <w:szCs w:val="24"/>
              </w:rPr>
              <w:t>参数及功能项有负偏离或漏项的每一项扣0.5分最低扣至0分。</w:t>
            </w:r>
          </w:p>
          <w:p>
            <w:pPr>
              <w:pStyle w:val="13"/>
              <w:spacing w:line="380" w:lineRule="exact"/>
              <w:rPr>
                <w:rFonts w:ascii="Times New Roman" w:hAnsi="Times New Roman" w:eastAsia="楷体_GB2312"/>
                <w:sz w:val="24"/>
                <w:szCs w:val="24"/>
              </w:rPr>
            </w:pPr>
            <w:r>
              <w:rPr>
                <w:rFonts w:ascii="Times New Roman" w:hAnsi="Times New Roman" w:eastAsia="楷体_GB2312"/>
                <w:sz w:val="24"/>
                <w:szCs w:val="24"/>
              </w:rPr>
              <w:t>2</w:t>
            </w:r>
            <w:r>
              <w:rPr>
                <w:rFonts w:hint="eastAsia" w:ascii="Times New Roman" w:hAnsi="Times New Roman" w:eastAsia="楷体_GB2312"/>
                <w:sz w:val="24"/>
                <w:szCs w:val="24"/>
              </w:rPr>
              <w:t>.</w:t>
            </w:r>
            <w:r>
              <w:rPr>
                <w:rFonts w:ascii="Times New Roman" w:hAnsi="Times New Roman" w:eastAsia="楷体_GB2312"/>
                <w:sz w:val="24"/>
                <w:szCs w:val="24"/>
              </w:rPr>
              <w:t>技术参数完全满足采购文件第五章</w:t>
            </w:r>
            <w:r>
              <w:rPr>
                <w:rFonts w:ascii="Times New Roman" w:hAnsi="Times New Roman" w:eastAsia="楷体_GB2312"/>
                <w:b/>
                <w:bCs/>
                <w:sz w:val="24"/>
                <w:szCs w:val="24"/>
              </w:rPr>
              <w:t>电器控制要求</w:t>
            </w:r>
            <w:r>
              <w:rPr>
                <w:rFonts w:ascii="Times New Roman" w:hAnsi="Times New Roman" w:eastAsia="楷体_GB2312"/>
                <w:sz w:val="24"/>
                <w:szCs w:val="24"/>
              </w:rPr>
              <w:t>的需求内容得10分；</w:t>
            </w:r>
            <w:r>
              <w:rPr>
                <w:rFonts w:ascii="Times New Roman" w:hAnsi="Times New Roman" w:eastAsia="楷体_GB2312"/>
                <w:b/>
                <w:bCs/>
                <w:sz w:val="24"/>
                <w:szCs w:val="24"/>
              </w:rPr>
              <w:t>重要</w:t>
            </w:r>
            <w:r>
              <w:rPr>
                <w:rFonts w:ascii="Times New Roman" w:hAnsi="Times New Roman" w:eastAsia="楷体_GB2312"/>
                <w:sz w:val="24"/>
                <w:szCs w:val="24"/>
              </w:rPr>
              <w:t>参数及功能项有负偏离或漏项的每一项扣1分</w:t>
            </w:r>
            <w:r>
              <w:rPr>
                <w:rFonts w:hint="eastAsia" w:ascii="Times New Roman" w:hAnsi="Times New Roman" w:eastAsia="楷体_GB2312"/>
                <w:sz w:val="24"/>
                <w:szCs w:val="24"/>
                <w:lang w:eastAsia="zh-CN"/>
              </w:rPr>
              <w:t>，</w:t>
            </w:r>
            <w:r>
              <w:rPr>
                <w:rFonts w:ascii="Times New Roman" w:hAnsi="Times New Roman" w:eastAsia="楷体_GB2312"/>
                <w:sz w:val="24"/>
                <w:szCs w:val="24"/>
              </w:rPr>
              <w:t xml:space="preserve"> </w:t>
            </w:r>
            <w:r>
              <w:rPr>
                <w:rFonts w:ascii="Times New Roman" w:hAnsi="Times New Roman" w:eastAsia="楷体_GB2312"/>
                <w:b/>
                <w:bCs/>
                <w:sz w:val="24"/>
                <w:szCs w:val="24"/>
              </w:rPr>
              <w:t>一般</w:t>
            </w:r>
            <w:r>
              <w:rPr>
                <w:rFonts w:ascii="Times New Roman" w:hAnsi="Times New Roman" w:eastAsia="楷体_GB2312"/>
                <w:sz w:val="24"/>
                <w:szCs w:val="24"/>
              </w:rPr>
              <w:t>参数及功能项有负偏离或漏项的每一项扣0.5分最低扣至0分。</w:t>
            </w:r>
          </w:p>
          <w:p>
            <w:pPr>
              <w:pStyle w:val="13"/>
              <w:spacing w:line="380" w:lineRule="exact"/>
              <w:rPr>
                <w:rFonts w:ascii="Times New Roman" w:hAnsi="Times New Roman" w:eastAsia="楷体_GB2312"/>
                <w:sz w:val="24"/>
                <w:szCs w:val="24"/>
              </w:rPr>
            </w:pPr>
            <w:r>
              <w:rPr>
                <w:rFonts w:ascii="Times New Roman" w:hAnsi="Times New Roman" w:eastAsia="楷体_GB2312"/>
                <w:sz w:val="24"/>
                <w:szCs w:val="24"/>
              </w:rPr>
              <w:t>3</w:t>
            </w:r>
            <w:r>
              <w:rPr>
                <w:rFonts w:hint="eastAsia" w:ascii="Times New Roman" w:hAnsi="Times New Roman" w:eastAsia="楷体_GB2312"/>
                <w:sz w:val="24"/>
                <w:szCs w:val="24"/>
              </w:rPr>
              <w:t>.</w:t>
            </w:r>
            <w:r>
              <w:rPr>
                <w:rFonts w:ascii="Times New Roman" w:hAnsi="Times New Roman" w:eastAsia="楷体_GB2312"/>
                <w:sz w:val="24"/>
                <w:szCs w:val="24"/>
              </w:rPr>
              <w:t>技术参数完全满足采购文件第五章</w:t>
            </w:r>
            <w:r>
              <w:rPr>
                <w:rFonts w:ascii="Times New Roman" w:hAnsi="Times New Roman" w:eastAsia="楷体_GB2312"/>
                <w:b/>
                <w:bCs/>
                <w:sz w:val="24"/>
                <w:szCs w:val="24"/>
              </w:rPr>
              <w:t>安全要求</w:t>
            </w:r>
            <w:r>
              <w:rPr>
                <w:rFonts w:ascii="Times New Roman" w:hAnsi="Times New Roman" w:eastAsia="楷体_GB2312"/>
                <w:sz w:val="24"/>
                <w:szCs w:val="24"/>
              </w:rPr>
              <w:t>的需求内容得10分；</w:t>
            </w:r>
            <w:r>
              <w:rPr>
                <w:rFonts w:ascii="Times New Roman" w:hAnsi="Times New Roman" w:eastAsia="楷体_GB2312"/>
                <w:b/>
                <w:bCs/>
                <w:sz w:val="24"/>
                <w:szCs w:val="24"/>
              </w:rPr>
              <w:t>重要</w:t>
            </w:r>
            <w:r>
              <w:rPr>
                <w:rFonts w:ascii="Times New Roman" w:hAnsi="Times New Roman" w:eastAsia="楷体_GB2312"/>
                <w:sz w:val="24"/>
                <w:szCs w:val="24"/>
              </w:rPr>
              <w:t>参数及功能项有负偏离或漏项的每一项扣1分</w:t>
            </w:r>
            <w:r>
              <w:rPr>
                <w:rFonts w:hint="eastAsia" w:ascii="Times New Roman" w:hAnsi="Times New Roman" w:eastAsia="楷体_GB2312"/>
                <w:sz w:val="24"/>
                <w:szCs w:val="24"/>
                <w:lang w:eastAsia="zh-CN"/>
              </w:rPr>
              <w:t>，</w:t>
            </w:r>
            <w:r>
              <w:rPr>
                <w:rFonts w:ascii="Times New Roman" w:hAnsi="Times New Roman" w:eastAsia="楷体_GB2312"/>
                <w:sz w:val="24"/>
                <w:szCs w:val="24"/>
              </w:rPr>
              <w:t xml:space="preserve"> </w:t>
            </w:r>
            <w:r>
              <w:rPr>
                <w:rFonts w:ascii="Times New Roman" w:hAnsi="Times New Roman" w:eastAsia="楷体_GB2312"/>
                <w:b/>
                <w:bCs/>
                <w:sz w:val="24"/>
                <w:szCs w:val="24"/>
              </w:rPr>
              <w:t>一般</w:t>
            </w:r>
            <w:r>
              <w:rPr>
                <w:rFonts w:ascii="Times New Roman" w:hAnsi="Times New Roman" w:eastAsia="楷体_GB2312"/>
                <w:sz w:val="24"/>
                <w:szCs w:val="24"/>
              </w:rPr>
              <w:t>参数及功能项有负偏离或漏项的每一项扣0.5分最低扣至0分。</w:t>
            </w:r>
          </w:p>
          <w:p>
            <w:pPr>
              <w:pStyle w:val="13"/>
              <w:spacing w:line="380" w:lineRule="exact"/>
              <w:rPr>
                <w:rFonts w:ascii="Times New Roman" w:hAnsi="Times New Roman" w:eastAsia="楷体_GB2312"/>
                <w:sz w:val="24"/>
                <w:szCs w:val="24"/>
              </w:rPr>
            </w:pPr>
            <w:r>
              <w:rPr>
                <w:rFonts w:ascii="Times New Roman" w:hAnsi="Times New Roman" w:eastAsia="楷体_GB2312"/>
                <w:sz w:val="24"/>
                <w:szCs w:val="24"/>
              </w:rPr>
              <w:t>4</w:t>
            </w:r>
            <w:r>
              <w:rPr>
                <w:rFonts w:hint="eastAsia" w:ascii="Times New Roman" w:hAnsi="Times New Roman" w:eastAsia="楷体_GB2312"/>
                <w:sz w:val="24"/>
                <w:szCs w:val="24"/>
              </w:rPr>
              <w:t>.</w:t>
            </w:r>
            <w:r>
              <w:rPr>
                <w:rFonts w:ascii="Times New Roman" w:hAnsi="Times New Roman" w:eastAsia="楷体_GB2312"/>
                <w:sz w:val="24"/>
                <w:szCs w:val="24"/>
              </w:rPr>
              <w:t>技术参数有优于采购文件第五章的要求且评审时被评审委员会接受的，每优于一项加1分</w:t>
            </w:r>
            <w:r>
              <w:rPr>
                <w:rFonts w:hint="eastAsia" w:ascii="Times New Roman" w:hAnsi="Times New Roman" w:eastAsia="楷体_GB2312"/>
                <w:sz w:val="24"/>
                <w:szCs w:val="24"/>
              </w:rPr>
              <w:t>，</w:t>
            </w:r>
            <w:r>
              <w:rPr>
                <w:rFonts w:ascii="Times New Roman" w:hAnsi="Times New Roman" w:eastAsia="楷体_GB2312"/>
                <w:sz w:val="24"/>
                <w:szCs w:val="24"/>
              </w:rPr>
              <w:t>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3" w:type="dxa"/>
            <w:shd w:val="clear" w:color="000000" w:fill="FFFFFF"/>
            <w:vAlign w:val="center"/>
          </w:tcPr>
          <w:p>
            <w:pPr>
              <w:pStyle w:val="74"/>
              <w:tabs>
                <w:tab w:val="left" w:pos="1050"/>
              </w:tabs>
              <w:snapToGrid w:val="0"/>
              <w:spacing w:line="380" w:lineRule="exact"/>
              <w:ind w:left="12" w:hanging="12" w:hangingChars="5"/>
              <w:jc w:val="center"/>
              <w:rPr>
                <w:rFonts w:ascii="Times New Roman" w:eastAsia="楷体_GB2312"/>
                <w:sz w:val="24"/>
                <w:szCs w:val="24"/>
              </w:rPr>
            </w:pPr>
            <w:r>
              <w:rPr>
                <w:rFonts w:ascii="Times New Roman" w:eastAsia="楷体_GB2312"/>
                <w:sz w:val="24"/>
                <w:szCs w:val="24"/>
              </w:rPr>
              <w:t>2</w:t>
            </w:r>
          </w:p>
        </w:tc>
        <w:tc>
          <w:tcPr>
            <w:tcW w:w="1559" w:type="dxa"/>
            <w:vAlign w:val="center"/>
          </w:tcPr>
          <w:p>
            <w:pPr>
              <w:autoSpaceDE w:val="0"/>
              <w:autoSpaceDN w:val="0"/>
              <w:snapToGrid w:val="0"/>
              <w:spacing w:line="380" w:lineRule="exact"/>
              <w:jc w:val="center"/>
              <w:rPr>
                <w:rFonts w:eastAsia="楷体_GB2312"/>
                <w:sz w:val="24"/>
              </w:rPr>
            </w:pPr>
            <w:r>
              <w:rPr>
                <w:rFonts w:eastAsia="楷体_GB2312"/>
                <w:sz w:val="24"/>
              </w:rPr>
              <w:t>质量及售后服务</w:t>
            </w:r>
          </w:p>
        </w:tc>
        <w:tc>
          <w:tcPr>
            <w:tcW w:w="1069" w:type="dxa"/>
            <w:vAlign w:val="center"/>
          </w:tcPr>
          <w:p>
            <w:pPr>
              <w:snapToGrid w:val="0"/>
              <w:spacing w:line="380" w:lineRule="exact"/>
              <w:jc w:val="center"/>
              <w:rPr>
                <w:rFonts w:eastAsia="楷体_GB2312"/>
                <w:sz w:val="24"/>
              </w:rPr>
            </w:pPr>
            <w:r>
              <w:rPr>
                <w:rFonts w:eastAsia="楷体_GB2312"/>
                <w:sz w:val="24"/>
              </w:rPr>
              <w:t>10</w:t>
            </w:r>
          </w:p>
        </w:tc>
        <w:tc>
          <w:tcPr>
            <w:tcW w:w="5996" w:type="dxa"/>
            <w:vAlign w:val="center"/>
          </w:tcPr>
          <w:p>
            <w:pPr>
              <w:pStyle w:val="13"/>
              <w:spacing w:line="380" w:lineRule="exact"/>
              <w:rPr>
                <w:rFonts w:ascii="Times New Roman" w:hAnsi="Times New Roman" w:eastAsia="楷体_GB2312"/>
                <w:sz w:val="24"/>
                <w:szCs w:val="24"/>
              </w:rPr>
            </w:pPr>
            <w:r>
              <w:rPr>
                <w:rFonts w:ascii="Times New Roman" w:hAnsi="Times New Roman" w:eastAsia="楷体_GB2312"/>
                <w:sz w:val="24"/>
                <w:szCs w:val="24"/>
              </w:rPr>
              <w:t>设备供应商具有良好的售后服务团队，能协助用户远程处理常见问题维修。保修期内长期提供优惠的维修服务及零部件，明确零部件的供货周期，接维修报障响应时间应在4小时内，若有需要48小时内到我司维修。质量及售后服务方案详细，有针对性，可操作性强，服务承诺较好得【8-10】分；质量及售后服务方案一般，有针对性，操作性一般，服务承诺一般得(5-7】分；质量及售后服务方案差，服务承诺差得（3-5】分；无质量及售后服务承诺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3" w:type="dxa"/>
            <w:shd w:val="clear" w:color="000000" w:fill="FFFFFF"/>
            <w:vAlign w:val="center"/>
          </w:tcPr>
          <w:p>
            <w:pPr>
              <w:pStyle w:val="74"/>
              <w:tabs>
                <w:tab w:val="left" w:pos="1050"/>
              </w:tabs>
              <w:snapToGrid w:val="0"/>
              <w:spacing w:line="380" w:lineRule="exact"/>
              <w:ind w:left="12" w:hanging="12" w:hangingChars="5"/>
              <w:jc w:val="center"/>
              <w:rPr>
                <w:rFonts w:ascii="Times New Roman" w:eastAsia="楷体_GB2312"/>
                <w:sz w:val="24"/>
                <w:szCs w:val="24"/>
              </w:rPr>
            </w:pPr>
            <w:r>
              <w:rPr>
                <w:rFonts w:ascii="Times New Roman" w:eastAsia="楷体_GB2312"/>
                <w:sz w:val="24"/>
                <w:szCs w:val="24"/>
              </w:rPr>
              <w:t>3</w:t>
            </w:r>
          </w:p>
        </w:tc>
        <w:tc>
          <w:tcPr>
            <w:tcW w:w="1559" w:type="dxa"/>
            <w:vAlign w:val="center"/>
          </w:tcPr>
          <w:p>
            <w:pPr>
              <w:widowControl/>
              <w:spacing w:line="380" w:lineRule="exact"/>
              <w:jc w:val="center"/>
              <w:textAlignment w:val="center"/>
              <w:rPr>
                <w:rFonts w:eastAsia="楷体_GB2312"/>
                <w:sz w:val="24"/>
              </w:rPr>
            </w:pPr>
            <w:r>
              <w:rPr>
                <w:rFonts w:eastAsia="楷体_GB2312"/>
                <w:sz w:val="24"/>
              </w:rPr>
              <w:t>供货周期</w:t>
            </w:r>
          </w:p>
        </w:tc>
        <w:tc>
          <w:tcPr>
            <w:tcW w:w="1069" w:type="dxa"/>
            <w:vAlign w:val="center"/>
          </w:tcPr>
          <w:p>
            <w:pPr>
              <w:widowControl/>
              <w:spacing w:line="380" w:lineRule="exact"/>
              <w:jc w:val="center"/>
              <w:textAlignment w:val="center"/>
              <w:rPr>
                <w:rFonts w:eastAsia="楷体_GB2312"/>
                <w:sz w:val="24"/>
              </w:rPr>
            </w:pPr>
            <w:r>
              <w:rPr>
                <w:rFonts w:eastAsia="楷体_GB2312"/>
                <w:sz w:val="24"/>
              </w:rPr>
              <w:t>10</w:t>
            </w:r>
          </w:p>
        </w:tc>
        <w:tc>
          <w:tcPr>
            <w:tcW w:w="5996" w:type="dxa"/>
            <w:vAlign w:val="center"/>
          </w:tcPr>
          <w:p>
            <w:pPr>
              <w:widowControl/>
              <w:spacing w:line="380" w:lineRule="exact"/>
              <w:jc w:val="left"/>
              <w:textAlignment w:val="center"/>
              <w:rPr>
                <w:rFonts w:eastAsia="楷体_GB2312"/>
                <w:sz w:val="24"/>
              </w:rPr>
            </w:pPr>
            <w:r>
              <w:rPr>
                <w:rFonts w:eastAsia="楷体_GB2312"/>
                <w:sz w:val="24"/>
              </w:rPr>
              <w:t>按采购文件约定的供货周期到货情况打分，供应商承诺每提前一天得1分，最高分10分。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3" w:type="dxa"/>
            <w:shd w:val="clear" w:color="000000" w:fill="FFFFFF"/>
            <w:vAlign w:val="center"/>
          </w:tcPr>
          <w:p>
            <w:pPr>
              <w:widowControl/>
              <w:snapToGrid w:val="0"/>
              <w:spacing w:line="380" w:lineRule="exact"/>
              <w:jc w:val="center"/>
              <w:rPr>
                <w:rFonts w:eastAsia="楷体_GB2312"/>
                <w:sz w:val="24"/>
              </w:rPr>
            </w:pPr>
            <w:r>
              <w:rPr>
                <w:rFonts w:eastAsia="楷体_GB2312"/>
                <w:sz w:val="24"/>
              </w:rPr>
              <w:t>4</w:t>
            </w:r>
          </w:p>
        </w:tc>
        <w:tc>
          <w:tcPr>
            <w:tcW w:w="1559" w:type="dxa"/>
            <w:vAlign w:val="center"/>
          </w:tcPr>
          <w:p>
            <w:pPr>
              <w:spacing w:line="380" w:lineRule="exact"/>
              <w:jc w:val="center"/>
              <w:rPr>
                <w:rFonts w:eastAsia="楷体_GB2312"/>
                <w:sz w:val="24"/>
              </w:rPr>
            </w:pPr>
            <w:r>
              <w:rPr>
                <w:rFonts w:eastAsia="楷体_GB2312"/>
                <w:sz w:val="24"/>
              </w:rPr>
              <w:t>培训</w:t>
            </w:r>
          </w:p>
        </w:tc>
        <w:tc>
          <w:tcPr>
            <w:tcW w:w="1069" w:type="dxa"/>
            <w:vAlign w:val="center"/>
          </w:tcPr>
          <w:p>
            <w:pPr>
              <w:pStyle w:val="74"/>
              <w:tabs>
                <w:tab w:val="left" w:pos="1050"/>
              </w:tabs>
              <w:snapToGrid w:val="0"/>
              <w:spacing w:line="380" w:lineRule="exact"/>
              <w:ind w:left="12" w:hanging="12" w:hangingChars="5"/>
              <w:jc w:val="center"/>
              <w:rPr>
                <w:rFonts w:ascii="Times New Roman" w:eastAsia="楷体_GB2312"/>
                <w:sz w:val="24"/>
                <w:szCs w:val="24"/>
              </w:rPr>
            </w:pPr>
            <w:r>
              <w:rPr>
                <w:rFonts w:ascii="Times New Roman" w:eastAsia="楷体_GB2312"/>
                <w:sz w:val="24"/>
                <w:szCs w:val="24"/>
              </w:rPr>
              <w:t>10</w:t>
            </w:r>
          </w:p>
        </w:tc>
        <w:tc>
          <w:tcPr>
            <w:tcW w:w="5996" w:type="dxa"/>
            <w:vAlign w:val="center"/>
          </w:tcPr>
          <w:p>
            <w:pPr>
              <w:pStyle w:val="74"/>
              <w:tabs>
                <w:tab w:val="left" w:pos="1050"/>
              </w:tabs>
              <w:snapToGrid w:val="0"/>
              <w:spacing w:line="380" w:lineRule="exact"/>
              <w:ind w:left="12" w:hanging="12" w:hangingChars="5"/>
              <w:jc w:val="left"/>
              <w:rPr>
                <w:rFonts w:ascii="Times New Roman" w:eastAsia="楷体_GB2312"/>
                <w:sz w:val="24"/>
                <w:szCs w:val="24"/>
              </w:rPr>
            </w:pPr>
            <w:r>
              <w:rPr>
                <w:rFonts w:ascii="Times New Roman" w:eastAsia="楷体_GB2312"/>
                <w:sz w:val="24"/>
                <w:szCs w:val="24"/>
              </w:rPr>
              <w:t>供应商承诺为本项目提供完整的理论知识及实际操作的综合培训，使采购方受训人员（至少三人）能够独立熟练完成操作，并能掌握使用过程中的注意事项，能够完成简单的故障排除。培训时长不少于2天。培训服务可操作性强，具有针对性，服务承诺较好得【8-10】分；培训服务可操作性一般，服务承诺一般得(5-7】分；培训服务方案差，服务承诺差得（3-5】分；无培训服务承诺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3" w:type="dxa"/>
            <w:shd w:val="clear" w:color="000000" w:fill="FFFFFF"/>
            <w:vAlign w:val="center"/>
          </w:tcPr>
          <w:p>
            <w:pPr>
              <w:pStyle w:val="74"/>
              <w:tabs>
                <w:tab w:val="left" w:pos="1050"/>
              </w:tabs>
              <w:snapToGrid w:val="0"/>
              <w:spacing w:line="380" w:lineRule="exact"/>
              <w:ind w:left="12" w:hanging="12" w:hangingChars="5"/>
              <w:jc w:val="center"/>
              <w:rPr>
                <w:rFonts w:ascii="Times New Roman" w:eastAsia="楷体_GB2312"/>
                <w:sz w:val="24"/>
                <w:szCs w:val="24"/>
              </w:rPr>
            </w:pPr>
            <w:r>
              <w:rPr>
                <w:rFonts w:ascii="Times New Roman" w:eastAsia="楷体_GB2312"/>
                <w:sz w:val="24"/>
                <w:szCs w:val="24"/>
              </w:rPr>
              <w:t>5</w:t>
            </w:r>
          </w:p>
        </w:tc>
        <w:tc>
          <w:tcPr>
            <w:tcW w:w="1559" w:type="dxa"/>
            <w:vAlign w:val="center"/>
          </w:tcPr>
          <w:p>
            <w:pPr>
              <w:spacing w:line="380" w:lineRule="exact"/>
              <w:jc w:val="center"/>
              <w:rPr>
                <w:rFonts w:eastAsia="楷体_GB2312"/>
                <w:sz w:val="24"/>
              </w:rPr>
            </w:pPr>
            <w:r>
              <w:rPr>
                <w:rFonts w:eastAsia="楷体_GB2312"/>
                <w:sz w:val="24"/>
              </w:rPr>
              <w:t>技术优点</w:t>
            </w:r>
          </w:p>
        </w:tc>
        <w:tc>
          <w:tcPr>
            <w:tcW w:w="1069" w:type="dxa"/>
            <w:vAlign w:val="center"/>
          </w:tcPr>
          <w:p>
            <w:pPr>
              <w:snapToGrid w:val="0"/>
              <w:spacing w:line="380" w:lineRule="exact"/>
              <w:jc w:val="center"/>
              <w:rPr>
                <w:rFonts w:eastAsia="楷体_GB2312"/>
                <w:sz w:val="24"/>
              </w:rPr>
            </w:pPr>
            <w:r>
              <w:rPr>
                <w:rFonts w:eastAsia="楷体_GB2312"/>
                <w:sz w:val="24"/>
              </w:rPr>
              <w:t>20</w:t>
            </w:r>
          </w:p>
        </w:tc>
        <w:tc>
          <w:tcPr>
            <w:tcW w:w="5996" w:type="dxa"/>
            <w:vAlign w:val="center"/>
          </w:tcPr>
          <w:p>
            <w:pPr>
              <w:spacing w:line="380" w:lineRule="exact"/>
              <w:rPr>
                <w:rFonts w:eastAsia="楷体_GB2312"/>
                <w:sz w:val="24"/>
                <w:lang w:eastAsia="zh-Hans"/>
              </w:rPr>
            </w:pPr>
            <w:r>
              <w:rPr>
                <w:rFonts w:eastAsia="楷体_GB2312"/>
                <w:sz w:val="24"/>
              </w:rPr>
              <w:t>具有用于本设备独有专利或技术优点的，能提供相关的专利证书，每项得5分，满分20分。需提供相关专利证书复印件。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3" w:type="dxa"/>
            <w:shd w:val="clear" w:color="000000" w:fill="FFFFFF"/>
            <w:vAlign w:val="center"/>
          </w:tcPr>
          <w:p>
            <w:pPr>
              <w:pStyle w:val="74"/>
              <w:tabs>
                <w:tab w:val="left" w:pos="1050"/>
              </w:tabs>
              <w:snapToGrid w:val="0"/>
              <w:spacing w:line="380" w:lineRule="exact"/>
              <w:ind w:left="12" w:hanging="12" w:hangingChars="5"/>
              <w:jc w:val="center"/>
              <w:rPr>
                <w:rFonts w:ascii="Times New Roman" w:eastAsia="楷体_GB2312"/>
                <w:sz w:val="24"/>
                <w:szCs w:val="24"/>
              </w:rPr>
            </w:pPr>
            <w:r>
              <w:rPr>
                <w:rFonts w:ascii="Times New Roman" w:eastAsia="楷体_GB2312"/>
                <w:sz w:val="24"/>
                <w:szCs w:val="24"/>
              </w:rPr>
              <w:t>6</w:t>
            </w:r>
          </w:p>
        </w:tc>
        <w:tc>
          <w:tcPr>
            <w:tcW w:w="1559" w:type="dxa"/>
            <w:vAlign w:val="center"/>
          </w:tcPr>
          <w:p>
            <w:pPr>
              <w:autoSpaceDE w:val="0"/>
              <w:autoSpaceDN w:val="0"/>
              <w:snapToGrid w:val="0"/>
              <w:spacing w:line="380" w:lineRule="exact"/>
              <w:jc w:val="center"/>
              <w:rPr>
                <w:rFonts w:eastAsia="楷体_GB2312"/>
                <w:sz w:val="24"/>
              </w:rPr>
            </w:pPr>
            <w:r>
              <w:rPr>
                <w:rFonts w:eastAsia="楷体_GB2312"/>
                <w:sz w:val="24"/>
              </w:rPr>
              <w:t>业绩</w:t>
            </w:r>
          </w:p>
        </w:tc>
        <w:tc>
          <w:tcPr>
            <w:tcW w:w="1069" w:type="dxa"/>
            <w:vAlign w:val="center"/>
          </w:tcPr>
          <w:p>
            <w:pPr>
              <w:pStyle w:val="74"/>
              <w:tabs>
                <w:tab w:val="left" w:pos="1050"/>
              </w:tabs>
              <w:snapToGrid w:val="0"/>
              <w:spacing w:line="380" w:lineRule="exact"/>
              <w:ind w:left="12" w:hanging="12" w:hangingChars="5"/>
              <w:jc w:val="center"/>
              <w:rPr>
                <w:rFonts w:ascii="Times New Roman" w:eastAsia="楷体_GB2312"/>
                <w:sz w:val="24"/>
                <w:szCs w:val="24"/>
              </w:rPr>
            </w:pPr>
            <w:r>
              <w:rPr>
                <w:rFonts w:ascii="Times New Roman" w:eastAsia="楷体_GB2312"/>
                <w:sz w:val="24"/>
                <w:szCs w:val="24"/>
              </w:rPr>
              <w:t>15</w:t>
            </w:r>
          </w:p>
        </w:tc>
        <w:tc>
          <w:tcPr>
            <w:tcW w:w="5996" w:type="dxa"/>
            <w:vAlign w:val="center"/>
          </w:tcPr>
          <w:p>
            <w:pPr>
              <w:pStyle w:val="25"/>
              <w:snapToGrid w:val="0"/>
              <w:spacing w:before="0" w:beforeAutospacing="0" w:after="0" w:afterAutospacing="0" w:line="380" w:lineRule="exact"/>
              <w:outlineLvl w:val="0"/>
              <w:rPr>
                <w:rFonts w:ascii="Times New Roman" w:hAnsi="Times New Roman" w:eastAsia="楷体_GB2312" w:cs="Times New Roman"/>
                <w:kern w:val="2"/>
              </w:rPr>
            </w:pPr>
            <w:r>
              <w:rPr>
                <w:rFonts w:ascii="Times New Roman" w:hAnsi="Times New Roman" w:eastAsia="楷体_GB2312" w:cs="Times New Roman"/>
                <w:kern w:val="2"/>
              </w:rPr>
              <w:t>满足采购公告中业绩资格要求，得5分；在此基础上，每增加1项满足采购公告业绩资格要求业绩加3分，此项最高得15分。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5" w:hRule="atLeast"/>
        </w:trPr>
        <w:tc>
          <w:tcPr>
            <w:tcW w:w="2222" w:type="dxa"/>
            <w:gridSpan w:val="2"/>
            <w:shd w:val="clear" w:color="000000" w:fill="FFFFFF"/>
            <w:vAlign w:val="center"/>
          </w:tcPr>
          <w:p>
            <w:pPr>
              <w:widowControl/>
              <w:snapToGrid w:val="0"/>
              <w:spacing w:line="380" w:lineRule="exact"/>
              <w:jc w:val="center"/>
              <w:rPr>
                <w:rFonts w:eastAsia="楷体_GB2312"/>
                <w:sz w:val="24"/>
              </w:rPr>
            </w:pPr>
            <w:r>
              <w:rPr>
                <w:rFonts w:eastAsia="楷体_GB2312"/>
                <w:sz w:val="24"/>
              </w:rPr>
              <w:t>合计</w:t>
            </w:r>
          </w:p>
        </w:tc>
        <w:tc>
          <w:tcPr>
            <w:tcW w:w="1069" w:type="dxa"/>
            <w:vAlign w:val="center"/>
          </w:tcPr>
          <w:p>
            <w:pPr>
              <w:widowControl/>
              <w:snapToGrid w:val="0"/>
              <w:spacing w:line="380" w:lineRule="exact"/>
              <w:jc w:val="center"/>
              <w:rPr>
                <w:rFonts w:eastAsia="楷体_GB2312"/>
                <w:sz w:val="24"/>
              </w:rPr>
            </w:pPr>
            <w:r>
              <w:rPr>
                <w:rFonts w:eastAsia="楷体_GB2312"/>
                <w:sz w:val="24"/>
              </w:rPr>
              <w:t>100</w:t>
            </w:r>
          </w:p>
        </w:tc>
        <w:tc>
          <w:tcPr>
            <w:tcW w:w="5996" w:type="dxa"/>
            <w:vAlign w:val="center"/>
          </w:tcPr>
          <w:p>
            <w:pPr>
              <w:widowControl/>
              <w:snapToGrid w:val="0"/>
              <w:spacing w:line="380" w:lineRule="exact"/>
              <w:rPr>
                <w:rFonts w:eastAsia="楷体_GB2312"/>
                <w:sz w:val="24"/>
              </w:rPr>
            </w:pPr>
          </w:p>
        </w:tc>
      </w:tr>
    </w:tbl>
    <w:p>
      <w:pPr>
        <w:widowControl/>
        <w:spacing w:line="360" w:lineRule="auto"/>
        <w:jc w:val="left"/>
        <w:rPr>
          <w:rFonts w:ascii="楷体_GB2312" w:eastAsia="楷体_GB2312"/>
          <w:sz w:val="24"/>
        </w:rPr>
      </w:pPr>
      <w:bookmarkStart w:id="125" w:name="_Hlk197955906"/>
      <w:r>
        <w:rPr>
          <w:rFonts w:hint="eastAsia" w:ascii="楷体_GB2312" w:eastAsia="楷体_GB2312"/>
          <w:sz w:val="24"/>
        </w:rPr>
        <w:t>备注：1.“（）”指不包含本数，“【】”指包含本数，如(5-7】得分为6-7分。</w:t>
      </w:r>
    </w:p>
    <w:p>
      <w:pPr>
        <w:spacing w:before="20" w:after="20"/>
        <w:ind w:firstLine="720" w:firstLineChars="300"/>
        <w:rPr>
          <w:rFonts w:ascii="楷体_GB2312" w:eastAsia="楷体_GB2312" w:cs="宋体"/>
          <w:sz w:val="24"/>
        </w:rPr>
      </w:pPr>
      <w:r>
        <w:rPr>
          <w:rFonts w:hint="eastAsia" w:ascii="楷体_GB2312" w:eastAsia="楷体_GB2312"/>
          <w:sz w:val="24"/>
          <w:szCs w:val="32"/>
        </w:rPr>
        <w:t>2.第五章技术标准与要求中，</w:t>
      </w:r>
      <w:bookmarkStart w:id="126" w:name="_Hlk182388069"/>
      <w:r>
        <w:rPr>
          <w:rFonts w:hint="eastAsia" w:ascii="楷体_GB2312" w:eastAsia="楷体_GB2312" w:cs="宋体"/>
          <w:sz w:val="24"/>
        </w:rPr>
        <w:t>带★技术要求为必须响应，任一项参数不响应，投标将被否决；带▲技术要求为重要条件，每有1项负偏离扣1分；未做标记项目为一般项目，每有1项负偏离扣0.5分。</w:t>
      </w:r>
    </w:p>
    <w:bookmarkEnd w:id="125"/>
    <w:bookmarkEnd w:id="126"/>
    <w:p>
      <w:bookmarkStart w:id="127" w:name="_Toc8038"/>
      <w:bookmarkStart w:id="128" w:name="_Toc162967112"/>
      <w:bookmarkStart w:id="129" w:name="_Toc25872"/>
      <w:bookmarkStart w:id="130" w:name="_Toc10334"/>
    </w:p>
    <w:p/>
    <w:p/>
    <w:p/>
    <w:p/>
    <w:p/>
    <w:p/>
    <w:p/>
    <w:p/>
    <w:p/>
    <w:p/>
    <w:p/>
    <w:p/>
    <w:p/>
    <w:p>
      <w:pPr>
        <w:pStyle w:val="4"/>
        <w:widowControl/>
        <w:spacing w:line="560" w:lineRule="exact"/>
        <w:ind w:firstLine="0" w:firstLineChars="0"/>
        <w:jc w:val="left"/>
        <w:rPr>
          <w:rFonts w:hint="eastAsia" w:ascii="黑体" w:hAnsi="黑体" w:eastAsia="黑体"/>
          <w:b w:val="0"/>
          <w:bCs w:val="0"/>
        </w:rPr>
      </w:pPr>
      <w:r>
        <w:rPr>
          <w:rFonts w:hint="eastAsia" w:ascii="黑体" w:hAnsi="黑体" w:eastAsia="黑体"/>
          <w:b w:val="0"/>
          <w:bCs w:val="0"/>
        </w:rPr>
        <w:t>附件3</w:t>
      </w:r>
      <w:r>
        <w:rPr>
          <w:rFonts w:ascii="黑体" w:hAnsi="黑体" w:eastAsia="黑体"/>
          <w:b w:val="0"/>
          <w:bCs w:val="0"/>
        </w:rPr>
        <w:t xml:space="preserve"> </w:t>
      </w:r>
    </w:p>
    <w:p>
      <w:pPr>
        <w:pStyle w:val="4"/>
        <w:widowControl/>
        <w:spacing w:line="560" w:lineRule="exact"/>
        <w:ind w:firstLine="0" w:firstLineChars="0"/>
        <w:jc w:val="center"/>
        <w:rPr>
          <w:rFonts w:hint="eastAsia" w:ascii="方正小标宋简体" w:hAnsi="黑体" w:eastAsia="方正小标宋简体"/>
          <w:b w:val="0"/>
          <w:bCs w:val="0"/>
          <w:sz w:val="44"/>
          <w:szCs w:val="44"/>
        </w:rPr>
      </w:pPr>
      <w:r>
        <w:rPr>
          <w:rFonts w:hint="eastAsia" w:ascii="方正小标宋简体" w:hAnsi="黑体" w:eastAsia="方正小标宋简体"/>
          <w:b w:val="0"/>
          <w:bCs w:val="0"/>
          <w:sz w:val="44"/>
          <w:szCs w:val="44"/>
        </w:rPr>
        <w:t>报价评审</w:t>
      </w:r>
      <w:bookmarkEnd w:id="127"/>
      <w:bookmarkEnd w:id="128"/>
      <w:bookmarkEnd w:id="129"/>
      <w:bookmarkEnd w:id="130"/>
    </w:p>
    <w:p>
      <w:pPr>
        <w:spacing w:line="560" w:lineRule="exact"/>
        <w:ind w:firstLine="640" w:firstLineChars="200"/>
        <w:rPr>
          <w:rFonts w:hint="eastAsia" w:ascii="楷体_GB2312" w:hAnsi="黑体" w:eastAsia="楷体_GB2312" w:cs="宋体"/>
          <w:bCs/>
          <w:sz w:val="32"/>
          <w:szCs w:val="32"/>
        </w:rPr>
      </w:pPr>
      <w:r>
        <w:rPr>
          <w:rFonts w:hint="eastAsia" w:ascii="楷体_GB2312" w:hAnsi="黑体" w:eastAsia="楷体_GB2312" w:cs="宋体"/>
          <w:bCs/>
          <w:sz w:val="32"/>
          <w:szCs w:val="32"/>
        </w:rPr>
        <w:t>（一）评审基准价计算方法</w:t>
      </w:r>
    </w:p>
    <w:p>
      <w:pPr>
        <w:spacing w:line="560" w:lineRule="exact"/>
        <w:ind w:firstLine="640" w:firstLineChars="200"/>
        <w:rPr>
          <w:rFonts w:eastAsia="仿宋_GB2312"/>
          <w:sz w:val="32"/>
          <w:szCs w:val="32"/>
        </w:rPr>
      </w:pPr>
      <w:r>
        <w:rPr>
          <w:rFonts w:eastAsia="仿宋_GB2312"/>
          <w:sz w:val="32"/>
          <w:szCs w:val="32"/>
        </w:rPr>
        <w:t>1.供应商评审价高于全部通过初步评审的供应商评审价算术平均值50%的不参与评审基准价的计算（通过初步评审的供应商不足四家的不适用此条）。</w:t>
      </w:r>
    </w:p>
    <w:p>
      <w:pPr>
        <w:spacing w:line="560" w:lineRule="exact"/>
        <w:ind w:firstLine="640" w:firstLineChars="200"/>
        <w:rPr>
          <w:rFonts w:eastAsia="仿宋_GB2312"/>
          <w:sz w:val="32"/>
          <w:szCs w:val="32"/>
        </w:rPr>
      </w:pPr>
      <w:r>
        <w:rPr>
          <w:rFonts w:eastAsia="仿宋_GB2312"/>
          <w:sz w:val="32"/>
          <w:szCs w:val="32"/>
        </w:rPr>
        <w:t>2.评审基准价计算方法为：</w:t>
      </w:r>
    </w:p>
    <w:p>
      <w:pPr>
        <w:spacing w:line="560" w:lineRule="exact"/>
        <w:ind w:firstLine="640" w:firstLineChars="200"/>
        <w:rPr>
          <w:rFonts w:eastAsia="仿宋_GB2312"/>
          <w:sz w:val="32"/>
          <w:szCs w:val="32"/>
        </w:rPr>
      </w:pPr>
      <w:r>
        <w:rPr>
          <w:rFonts w:eastAsia="仿宋_GB2312"/>
          <w:sz w:val="32"/>
          <w:szCs w:val="32"/>
        </w:rPr>
        <w:t>（1）当通过初步评审且参与评审基准价的供应商为9家或9家以上时，其计算方法为：</w:t>
      </w:r>
    </w:p>
    <w:p>
      <w:pPr>
        <w:spacing w:line="560" w:lineRule="exact"/>
        <w:ind w:firstLine="640" w:firstLineChars="200"/>
        <w:rPr>
          <w:rFonts w:eastAsia="仿宋_GB2312"/>
          <w:sz w:val="32"/>
          <w:szCs w:val="32"/>
        </w:rPr>
      </w:pPr>
      <w:r>
        <w:rPr>
          <w:rFonts w:eastAsia="仿宋_GB2312"/>
          <w:sz w:val="32"/>
          <w:szCs w:val="32"/>
        </w:rPr>
        <w:t>评审基准价=（所有有效供应商评审价之和-最高评审价-最低评审价）/（有效响应单位数-2）×</w:t>
      </w:r>
      <w:r>
        <w:rPr>
          <w:rFonts w:eastAsia="仿宋_GB2312"/>
          <w:sz w:val="32"/>
          <w:szCs w:val="32"/>
          <w:u w:val="single"/>
        </w:rPr>
        <w:t>95</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（2）当通过初步评审且参与评审基准价的供应商为9家以下时，其计算方法为：</w:t>
      </w:r>
    </w:p>
    <w:p>
      <w:pPr>
        <w:spacing w:line="560" w:lineRule="exact"/>
        <w:ind w:firstLine="640" w:firstLineChars="200"/>
        <w:rPr>
          <w:rFonts w:eastAsia="仿宋_GB2312"/>
          <w:sz w:val="32"/>
          <w:szCs w:val="32"/>
        </w:rPr>
      </w:pPr>
      <w:r>
        <w:rPr>
          <w:rFonts w:eastAsia="仿宋_GB2312"/>
          <w:sz w:val="32"/>
          <w:szCs w:val="32"/>
        </w:rPr>
        <w:t>评审基准价=通过初步评审供应商评审价的算术平均值×</w:t>
      </w:r>
      <w:r>
        <w:rPr>
          <w:rFonts w:eastAsia="仿宋_GB2312"/>
          <w:sz w:val="32"/>
          <w:szCs w:val="32"/>
          <w:u w:val="single"/>
        </w:rPr>
        <w:t>95</w:t>
      </w:r>
      <w:r>
        <w:rPr>
          <w:rFonts w:eastAsia="仿宋_GB2312"/>
          <w:sz w:val="32"/>
          <w:szCs w:val="32"/>
        </w:rPr>
        <w:t>%</w:t>
      </w:r>
    </w:p>
    <w:p>
      <w:pPr>
        <w:spacing w:line="560" w:lineRule="exact"/>
        <w:ind w:firstLine="640" w:firstLineChars="200"/>
        <w:rPr>
          <w:rFonts w:eastAsia="楷体_GB2312"/>
          <w:bCs/>
          <w:sz w:val="32"/>
          <w:szCs w:val="32"/>
        </w:rPr>
      </w:pPr>
      <w:r>
        <w:rPr>
          <w:rFonts w:eastAsia="楷体_GB2312"/>
          <w:bCs/>
          <w:sz w:val="32"/>
          <w:szCs w:val="32"/>
        </w:rPr>
        <w:t>（二）供应商评审价格的偏差率δ</w:t>
      </w:r>
    </w:p>
    <w:p>
      <w:pPr>
        <w:spacing w:line="560" w:lineRule="exact"/>
        <w:ind w:firstLine="640" w:firstLineChars="200"/>
        <w:rPr>
          <w:rFonts w:eastAsia="仿宋_GB2312"/>
          <w:sz w:val="32"/>
          <w:szCs w:val="32"/>
        </w:rPr>
      </w:pPr>
      <w:r>
        <w:rPr>
          <w:rFonts w:eastAsia="仿宋_GB2312"/>
          <w:sz w:val="32"/>
          <w:szCs w:val="32"/>
        </w:rPr>
        <w:t>δ=（供应商评审价格-评审基准价）/评审基准价×100%。</w:t>
      </w:r>
    </w:p>
    <w:p>
      <w:pPr>
        <w:spacing w:line="560" w:lineRule="exact"/>
        <w:ind w:firstLine="640" w:firstLineChars="200"/>
        <w:rPr>
          <w:rFonts w:eastAsia="仿宋_GB2312"/>
          <w:sz w:val="32"/>
          <w:szCs w:val="32"/>
        </w:rPr>
      </w:pPr>
      <w:r>
        <w:rPr>
          <w:rFonts w:eastAsia="仿宋_GB2312"/>
          <w:sz w:val="32"/>
          <w:szCs w:val="32"/>
        </w:rPr>
        <w:t>注：百分号前保留两位小数。</w:t>
      </w:r>
    </w:p>
    <w:p>
      <w:pPr>
        <w:spacing w:line="560" w:lineRule="exact"/>
        <w:ind w:firstLine="640" w:firstLineChars="200"/>
        <w:rPr>
          <w:rFonts w:ascii="楷体_GB2312" w:eastAsia="楷体_GB2312"/>
          <w:bCs/>
          <w:sz w:val="32"/>
          <w:szCs w:val="32"/>
        </w:rPr>
      </w:pPr>
      <w:r>
        <w:rPr>
          <w:rFonts w:hint="eastAsia" w:ascii="楷体_GB2312" w:eastAsia="楷体_GB2312"/>
          <w:bCs/>
          <w:sz w:val="32"/>
          <w:szCs w:val="32"/>
        </w:rPr>
        <w:t>（三）响应报价得分</w:t>
      </w:r>
    </w:p>
    <w:p>
      <w:pPr>
        <w:spacing w:line="560" w:lineRule="exact"/>
        <w:ind w:firstLine="640" w:firstLineChars="200"/>
        <w:rPr>
          <w:rFonts w:eastAsia="仿宋_GB2312"/>
          <w:sz w:val="32"/>
          <w:szCs w:val="32"/>
        </w:rPr>
      </w:pPr>
      <w:r>
        <w:rPr>
          <w:rFonts w:eastAsia="仿宋_GB2312"/>
          <w:sz w:val="32"/>
          <w:szCs w:val="32"/>
        </w:rPr>
        <w:t>当δ=0时，得100分；</w:t>
      </w:r>
    </w:p>
    <w:p>
      <w:pPr>
        <w:spacing w:line="560" w:lineRule="exact"/>
        <w:ind w:firstLine="640" w:firstLineChars="200"/>
        <w:rPr>
          <w:rFonts w:eastAsia="仿宋_GB2312"/>
          <w:sz w:val="32"/>
          <w:szCs w:val="32"/>
        </w:rPr>
      </w:pPr>
      <w:r>
        <w:rPr>
          <w:rFonts w:eastAsia="仿宋_GB2312"/>
          <w:sz w:val="32"/>
          <w:szCs w:val="32"/>
        </w:rPr>
        <w:t>当δ＞0时，则投标报价得分在100分的基础上，δ每增加1个百分点，扣减1分，最低扣至0分为止；</w:t>
      </w:r>
    </w:p>
    <w:p>
      <w:pPr>
        <w:spacing w:line="560" w:lineRule="exact"/>
        <w:ind w:firstLine="640" w:firstLineChars="200"/>
        <w:rPr>
          <w:rFonts w:eastAsia="仿宋_GB2312"/>
          <w:sz w:val="32"/>
          <w:szCs w:val="32"/>
        </w:rPr>
      </w:pPr>
      <w:r>
        <w:rPr>
          <w:rFonts w:eastAsia="仿宋_GB2312"/>
          <w:sz w:val="32"/>
          <w:szCs w:val="32"/>
        </w:rPr>
        <w:t xml:space="preserve">当δ＜0时，则投标报价得分在100分的基础上，δ每减少1个百分点，扣减0.5分，最低扣至0分为止； </w:t>
      </w:r>
    </w:p>
    <w:p>
      <w:pPr>
        <w:spacing w:line="560" w:lineRule="exact"/>
        <w:ind w:firstLine="640" w:firstLineChars="200"/>
        <w:rPr>
          <w:rFonts w:eastAsia="仿宋_GB2312"/>
          <w:sz w:val="32"/>
          <w:szCs w:val="32"/>
        </w:rPr>
      </w:pPr>
      <w:r>
        <w:rPr>
          <w:rFonts w:eastAsia="仿宋_GB2312"/>
          <w:sz w:val="32"/>
          <w:szCs w:val="32"/>
        </w:rPr>
        <w:t>d.其他情形，按中间插入法计算投标报价得分。</w:t>
      </w:r>
    </w:p>
    <w:p>
      <w:pPr>
        <w:pStyle w:val="13"/>
        <w:spacing w:line="600" w:lineRule="exact"/>
        <w:jc w:val="center"/>
        <w:outlineLvl w:val="0"/>
        <w:rPr>
          <w:rFonts w:ascii="Times New Roman" w:hAnsi="Times New Roman"/>
          <w:b/>
          <w:sz w:val="36"/>
          <w:szCs w:val="36"/>
        </w:rPr>
      </w:pPr>
    </w:p>
    <w:p>
      <w:pPr>
        <w:pStyle w:val="13"/>
        <w:spacing w:line="600" w:lineRule="exact"/>
        <w:jc w:val="center"/>
        <w:outlineLvl w:val="0"/>
        <w:rPr>
          <w:rFonts w:ascii="方正小标宋简体" w:hAnsi="Times New Roman" w:eastAsia="方正小标宋简体"/>
          <w:bCs/>
          <w:sz w:val="44"/>
          <w:szCs w:val="44"/>
        </w:rPr>
      </w:pPr>
    </w:p>
    <w:p>
      <w:pPr>
        <w:pStyle w:val="13"/>
        <w:spacing w:line="600" w:lineRule="exact"/>
        <w:jc w:val="center"/>
        <w:outlineLvl w:val="0"/>
        <w:rPr>
          <w:rFonts w:ascii="方正小标宋简体" w:hAnsi="Times New Roman" w:eastAsia="方正小标宋简体"/>
          <w:bCs/>
          <w:sz w:val="44"/>
          <w:szCs w:val="44"/>
        </w:rPr>
      </w:pPr>
    </w:p>
    <w:p>
      <w:pPr>
        <w:pStyle w:val="13"/>
        <w:spacing w:line="600" w:lineRule="exact"/>
        <w:jc w:val="center"/>
        <w:outlineLvl w:val="0"/>
        <w:rPr>
          <w:rFonts w:ascii="方正小标宋简体" w:hAnsi="Times New Roman" w:eastAsia="方正小标宋简体"/>
          <w:bCs/>
          <w:sz w:val="44"/>
          <w:szCs w:val="44"/>
        </w:rPr>
      </w:pPr>
    </w:p>
    <w:p>
      <w:pPr>
        <w:pStyle w:val="13"/>
        <w:spacing w:line="600" w:lineRule="exact"/>
        <w:jc w:val="center"/>
        <w:outlineLvl w:val="0"/>
        <w:rPr>
          <w:rFonts w:ascii="方正小标宋简体" w:hAnsi="Times New Roman" w:eastAsia="方正小标宋简体"/>
          <w:bCs/>
          <w:sz w:val="44"/>
          <w:szCs w:val="44"/>
        </w:rPr>
      </w:pPr>
    </w:p>
    <w:p>
      <w:pPr>
        <w:pStyle w:val="13"/>
        <w:spacing w:line="600" w:lineRule="exact"/>
        <w:jc w:val="center"/>
        <w:outlineLvl w:val="0"/>
        <w:rPr>
          <w:rFonts w:ascii="方正小标宋简体" w:hAnsi="Times New Roman" w:eastAsia="方正小标宋简体"/>
          <w:bCs/>
          <w:sz w:val="44"/>
          <w:szCs w:val="44"/>
        </w:rPr>
      </w:pPr>
    </w:p>
    <w:p>
      <w:pPr>
        <w:pStyle w:val="13"/>
        <w:spacing w:line="600" w:lineRule="exact"/>
        <w:jc w:val="center"/>
        <w:outlineLvl w:val="0"/>
        <w:rPr>
          <w:rFonts w:ascii="方正小标宋简体" w:hAnsi="Times New Roman" w:eastAsia="方正小标宋简体"/>
          <w:bCs/>
          <w:sz w:val="44"/>
          <w:szCs w:val="44"/>
        </w:rPr>
      </w:pPr>
    </w:p>
    <w:p>
      <w:pPr>
        <w:pStyle w:val="13"/>
        <w:spacing w:line="600" w:lineRule="exact"/>
        <w:jc w:val="center"/>
        <w:outlineLvl w:val="0"/>
        <w:rPr>
          <w:rFonts w:ascii="方正小标宋简体" w:hAnsi="Times New Roman" w:eastAsia="方正小标宋简体"/>
          <w:bCs/>
          <w:sz w:val="44"/>
          <w:szCs w:val="44"/>
        </w:rPr>
      </w:pPr>
    </w:p>
    <w:p>
      <w:pPr>
        <w:pStyle w:val="13"/>
        <w:spacing w:line="600" w:lineRule="exact"/>
        <w:jc w:val="center"/>
        <w:outlineLvl w:val="0"/>
        <w:rPr>
          <w:rFonts w:ascii="方正小标宋简体" w:hAnsi="Times New Roman" w:eastAsia="方正小标宋简体"/>
          <w:bCs/>
          <w:sz w:val="44"/>
          <w:szCs w:val="44"/>
        </w:rPr>
      </w:pPr>
    </w:p>
    <w:p>
      <w:pPr>
        <w:pStyle w:val="13"/>
        <w:spacing w:line="600" w:lineRule="exact"/>
        <w:jc w:val="center"/>
        <w:outlineLvl w:val="0"/>
        <w:rPr>
          <w:rFonts w:ascii="方正小标宋简体" w:hAnsi="Times New Roman" w:eastAsia="方正小标宋简体"/>
          <w:bCs/>
          <w:sz w:val="44"/>
          <w:szCs w:val="44"/>
        </w:rPr>
      </w:pPr>
    </w:p>
    <w:p>
      <w:pPr>
        <w:pStyle w:val="13"/>
        <w:spacing w:line="600" w:lineRule="exact"/>
        <w:jc w:val="center"/>
        <w:outlineLvl w:val="0"/>
        <w:rPr>
          <w:rFonts w:ascii="方正小标宋简体" w:hAnsi="Times New Roman" w:eastAsia="方正小标宋简体"/>
          <w:bCs/>
          <w:sz w:val="44"/>
          <w:szCs w:val="44"/>
        </w:rPr>
      </w:pPr>
    </w:p>
    <w:p>
      <w:pPr>
        <w:pStyle w:val="13"/>
        <w:spacing w:line="600" w:lineRule="exact"/>
        <w:jc w:val="center"/>
        <w:outlineLvl w:val="0"/>
        <w:rPr>
          <w:rFonts w:ascii="方正小标宋简体" w:hAnsi="Times New Roman" w:eastAsia="方正小标宋简体"/>
          <w:bCs/>
          <w:sz w:val="44"/>
          <w:szCs w:val="44"/>
        </w:rPr>
      </w:pPr>
    </w:p>
    <w:p>
      <w:pPr>
        <w:pStyle w:val="13"/>
        <w:spacing w:line="600" w:lineRule="exact"/>
        <w:jc w:val="center"/>
        <w:outlineLvl w:val="0"/>
        <w:rPr>
          <w:rFonts w:ascii="方正小标宋简体" w:hAnsi="Times New Roman" w:eastAsia="方正小标宋简体"/>
          <w:bCs/>
          <w:sz w:val="44"/>
          <w:szCs w:val="44"/>
        </w:rPr>
      </w:pPr>
    </w:p>
    <w:p>
      <w:pPr>
        <w:pStyle w:val="13"/>
        <w:spacing w:line="600" w:lineRule="exact"/>
        <w:jc w:val="center"/>
        <w:outlineLvl w:val="0"/>
        <w:rPr>
          <w:rFonts w:ascii="方正小标宋简体" w:hAnsi="Times New Roman" w:eastAsia="方正小标宋简体"/>
          <w:bCs/>
          <w:sz w:val="44"/>
          <w:szCs w:val="44"/>
        </w:rPr>
      </w:pPr>
    </w:p>
    <w:p>
      <w:pPr>
        <w:pStyle w:val="13"/>
        <w:spacing w:line="600" w:lineRule="exact"/>
        <w:jc w:val="center"/>
        <w:outlineLvl w:val="0"/>
        <w:rPr>
          <w:rFonts w:ascii="方正小标宋简体" w:hAnsi="Times New Roman" w:eastAsia="方正小标宋简体"/>
          <w:bCs/>
          <w:sz w:val="44"/>
          <w:szCs w:val="44"/>
        </w:rPr>
      </w:pPr>
    </w:p>
    <w:p>
      <w:pPr>
        <w:pStyle w:val="13"/>
        <w:spacing w:line="600" w:lineRule="exact"/>
        <w:jc w:val="center"/>
        <w:outlineLvl w:val="0"/>
        <w:rPr>
          <w:rFonts w:ascii="方正小标宋简体" w:hAnsi="Times New Roman" w:eastAsia="方正小标宋简体"/>
          <w:bCs/>
          <w:sz w:val="44"/>
          <w:szCs w:val="44"/>
        </w:rPr>
      </w:pPr>
    </w:p>
    <w:p>
      <w:pPr>
        <w:pStyle w:val="13"/>
        <w:spacing w:line="600" w:lineRule="exact"/>
        <w:jc w:val="center"/>
        <w:outlineLvl w:val="0"/>
        <w:rPr>
          <w:rFonts w:ascii="方正小标宋简体" w:hAnsi="Times New Roman" w:eastAsia="方正小标宋简体"/>
          <w:bCs/>
          <w:sz w:val="44"/>
          <w:szCs w:val="44"/>
        </w:rPr>
      </w:pPr>
    </w:p>
    <w:p>
      <w:pPr>
        <w:pStyle w:val="13"/>
        <w:spacing w:line="600" w:lineRule="exact"/>
        <w:jc w:val="center"/>
        <w:outlineLvl w:val="0"/>
        <w:rPr>
          <w:rFonts w:ascii="方正小标宋简体" w:hAnsi="Times New Roman" w:eastAsia="方正小标宋简体"/>
          <w:bCs/>
          <w:sz w:val="44"/>
          <w:szCs w:val="44"/>
        </w:rPr>
      </w:pPr>
    </w:p>
    <w:p>
      <w:pPr>
        <w:pStyle w:val="13"/>
        <w:spacing w:line="600" w:lineRule="exact"/>
        <w:jc w:val="center"/>
        <w:outlineLvl w:val="0"/>
        <w:rPr>
          <w:rFonts w:ascii="方正小标宋简体" w:hAnsi="Times New Roman" w:eastAsia="方正小标宋简体"/>
          <w:bCs/>
          <w:sz w:val="24"/>
          <w:szCs w:val="22"/>
        </w:rPr>
      </w:pPr>
      <w:r>
        <w:rPr>
          <w:rFonts w:hint="eastAsia" w:ascii="方正小标宋简体" w:hAnsi="Times New Roman" w:eastAsia="方正小标宋简体"/>
          <w:bCs/>
          <w:sz w:val="44"/>
          <w:szCs w:val="44"/>
        </w:rPr>
        <w:t>第四章  文件格式</w:t>
      </w:r>
      <w:bookmarkEnd w:id="42"/>
      <w:bookmarkEnd w:id="43"/>
      <w:bookmarkEnd w:id="44"/>
      <w:bookmarkStart w:id="131" w:name="_Toc139967211"/>
      <w:bookmarkStart w:id="132" w:name="_Toc139966427"/>
    </w:p>
    <w:p>
      <w:pPr>
        <w:pStyle w:val="13"/>
        <w:spacing w:line="500" w:lineRule="exact"/>
        <w:rPr>
          <w:rFonts w:hint="eastAsia" w:ascii="黑体" w:hAnsi="黑体" w:eastAsia="黑体"/>
          <w:bCs/>
          <w:sz w:val="32"/>
          <w:szCs w:val="32"/>
        </w:rPr>
      </w:pPr>
      <w:r>
        <w:rPr>
          <w:rFonts w:hint="eastAsia" w:ascii="黑体" w:hAnsi="黑体" w:eastAsia="黑体"/>
          <w:bCs/>
          <w:sz w:val="32"/>
          <w:szCs w:val="32"/>
        </w:rPr>
        <w:t>格式1：</w:t>
      </w:r>
    </w:p>
    <w:p>
      <w:pPr>
        <w:pStyle w:val="13"/>
        <w:spacing w:line="50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报价函（格式）</w:t>
      </w:r>
    </w:p>
    <w:p>
      <w:pPr>
        <w:pStyle w:val="13"/>
        <w:spacing w:line="560" w:lineRule="exact"/>
        <w:rPr>
          <w:rFonts w:ascii="Times New Roman" w:hAnsi="Times New Roman" w:eastAsia="仿宋_GB2312"/>
          <w:sz w:val="32"/>
          <w:szCs w:val="32"/>
        </w:rPr>
      </w:pPr>
    </w:p>
    <w:p>
      <w:pPr>
        <w:pStyle w:val="13"/>
        <w:spacing w:line="560" w:lineRule="exact"/>
        <w:rPr>
          <w:rFonts w:ascii="Times New Roman" w:hAnsi="Times New Roman" w:eastAsia="仿宋_GB2312"/>
          <w:sz w:val="32"/>
          <w:szCs w:val="32"/>
        </w:rPr>
      </w:pPr>
      <w:r>
        <w:rPr>
          <w:rFonts w:ascii="Times New Roman" w:hAnsi="Times New Roman" w:eastAsia="仿宋_GB2312"/>
          <w:sz w:val="32"/>
          <w:szCs w:val="32"/>
        </w:rPr>
        <w:t>致：广西双钱健康产业股份有限公司</w:t>
      </w:r>
      <w:r>
        <w:rPr>
          <w:rFonts w:hint="eastAsia" w:ascii="Times New Roman" w:hAnsi="Times New Roman" w:eastAsia="仿宋_GB2312"/>
          <w:sz w:val="32"/>
          <w:szCs w:val="32"/>
        </w:rPr>
        <w:t>：</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我方已仔细阅读了贵方组织的</w:t>
      </w:r>
      <w:r>
        <w:rPr>
          <w:rFonts w:ascii="Times New Roman" w:hAnsi="Times New Roman" w:eastAsia="仿宋_GB2312"/>
          <w:sz w:val="32"/>
          <w:szCs w:val="32"/>
          <w:u w:val="single"/>
        </w:rPr>
        <w:t xml:space="preserve">        （项目名称）       </w:t>
      </w:r>
      <w:r>
        <w:rPr>
          <w:rFonts w:ascii="Times New Roman" w:hAnsi="Times New Roman" w:eastAsia="仿宋_GB2312"/>
          <w:sz w:val="32"/>
          <w:szCs w:val="32"/>
        </w:rPr>
        <w:t>项目（项目编号：        ）的比选文件的全部内容，现正式递交下述文件参加贵方组织的本次企业采购活动：方案文件正本一份，副本</w:t>
      </w:r>
      <w:r>
        <w:rPr>
          <w:rFonts w:ascii="Times New Roman" w:hAnsi="Times New Roman" w:eastAsia="仿宋_GB2312"/>
          <w:sz w:val="32"/>
          <w:szCs w:val="32"/>
          <w:u w:val="single"/>
        </w:rPr>
        <w:t>四</w:t>
      </w:r>
      <w:r>
        <w:rPr>
          <w:rFonts w:ascii="Times New Roman" w:hAnsi="Times New Roman" w:eastAsia="仿宋_GB2312"/>
          <w:sz w:val="32"/>
          <w:szCs w:val="32"/>
        </w:rPr>
        <w:t>份；</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据此函，签字人兹宣布：</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1.我方愿意以</w:t>
      </w:r>
      <w:r>
        <w:rPr>
          <w:rFonts w:ascii="Times New Roman" w:hAnsi="Times New Roman" w:eastAsia="仿宋_GB2312"/>
          <w:b/>
          <w:sz w:val="32"/>
          <w:szCs w:val="32"/>
        </w:rPr>
        <w:t>人民币（大写）</w:t>
      </w:r>
      <w:r>
        <w:rPr>
          <w:rFonts w:ascii="Times New Roman" w:hAnsi="Times New Roman" w:eastAsia="仿宋_GB2312"/>
          <w:b/>
          <w:sz w:val="32"/>
          <w:szCs w:val="32"/>
          <w:u w:val="single"/>
        </w:rPr>
        <w:t xml:space="preserve">                 （小写）（￥         ）</w:t>
      </w:r>
      <w:r>
        <w:rPr>
          <w:rFonts w:ascii="Times New Roman" w:hAnsi="Times New Roman" w:eastAsia="仿宋_GB2312"/>
          <w:sz w:val="32"/>
          <w:szCs w:val="32"/>
        </w:rPr>
        <w:t>的含税总报价，增值税率为</w:t>
      </w:r>
      <w:r>
        <w:rPr>
          <w:rFonts w:ascii="Times New Roman" w:hAnsi="Times New Roman" w:eastAsia="仿宋_GB2312"/>
          <w:sz w:val="32"/>
          <w:szCs w:val="32"/>
          <w:u w:val="single"/>
        </w:rPr>
        <w:t xml:space="preserve">  </w:t>
      </w:r>
      <w:r>
        <w:rPr>
          <w:rFonts w:ascii="Times New Roman" w:hAnsi="Times New Roman" w:eastAsia="仿宋_GB2312"/>
          <w:sz w:val="32"/>
          <w:szCs w:val="32"/>
        </w:rPr>
        <w:t>%（其中不含税金额为：            税金为：          ）。提交成果文件时间：</w:t>
      </w:r>
      <w:r>
        <w:rPr>
          <w:rFonts w:ascii="Times New Roman" w:hAnsi="Times New Roman" w:eastAsia="仿宋_GB2312"/>
          <w:sz w:val="32"/>
          <w:szCs w:val="32"/>
          <w:u w:val="single"/>
        </w:rPr>
        <w:t xml:space="preserve">            </w:t>
      </w:r>
      <w:r>
        <w:rPr>
          <w:rFonts w:ascii="Times New Roman" w:hAnsi="Times New Roman" w:eastAsia="仿宋_GB2312"/>
          <w:sz w:val="32"/>
          <w:szCs w:val="32"/>
        </w:rPr>
        <w:t>，提供本项目比选文件第二章“项目采购需求”中的采购内容。</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2.我方同意自本项目比选文件规定的截止时间起遵循本报价函，并承诺在报价有效期内不修改、撤销报价文件。</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3.我方在此声明，所递交的报价文件及有关资料内容完整、真实和准确。</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4.我方承诺已经具备的条件：</w:t>
      </w:r>
    </w:p>
    <w:p>
      <w:pPr>
        <w:pStyle w:val="13"/>
        <w:tabs>
          <w:tab w:val="left" w:pos="1140"/>
        </w:tabs>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具有独立承担民事责任的能力；</w:t>
      </w:r>
    </w:p>
    <w:p>
      <w:pPr>
        <w:pStyle w:val="13"/>
        <w:tabs>
          <w:tab w:val="left" w:pos="1140"/>
        </w:tabs>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具有良好的商业信誉和健全的财务会计制度；</w:t>
      </w:r>
    </w:p>
    <w:p>
      <w:pPr>
        <w:pStyle w:val="13"/>
        <w:tabs>
          <w:tab w:val="left" w:pos="1140"/>
        </w:tabs>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具有履行合同所必需的设备和专业技术能力；</w:t>
      </w:r>
    </w:p>
    <w:p>
      <w:pPr>
        <w:pStyle w:val="13"/>
        <w:tabs>
          <w:tab w:val="left" w:pos="1140"/>
        </w:tabs>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有依法缴纳税收和社会保障资金的良好记录；</w:t>
      </w:r>
    </w:p>
    <w:p>
      <w:pPr>
        <w:pStyle w:val="13"/>
        <w:tabs>
          <w:tab w:val="left" w:pos="1140"/>
        </w:tabs>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w:t>
      </w:r>
      <w:r>
        <w:rPr>
          <w:rFonts w:ascii="Times New Roman" w:hAnsi="Times New Roman" w:eastAsia="仿宋_GB2312"/>
          <w:sz w:val="32"/>
          <w:szCs w:val="32"/>
        </w:rPr>
        <w:t>参加本项目前三年内，在经营活动中没有重大违法记录；</w:t>
      </w:r>
    </w:p>
    <w:p>
      <w:pPr>
        <w:pStyle w:val="13"/>
        <w:tabs>
          <w:tab w:val="left" w:pos="1140"/>
        </w:tabs>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w:t>
      </w:r>
      <w:r>
        <w:rPr>
          <w:rFonts w:ascii="Times New Roman" w:hAnsi="Times New Roman" w:eastAsia="仿宋_GB2312"/>
          <w:sz w:val="32"/>
          <w:szCs w:val="32"/>
        </w:rPr>
        <w:t>法律、行政法规规定的其他条件。</w:t>
      </w:r>
    </w:p>
    <w:p>
      <w:pPr>
        <w:pStyle w:val="13"/>
        <w:tabs>
          <w:tab w:val="left" w:pos="1140"/>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5.如本项目采购内容涉及须符合国家强制规定的，我方承诺我方本次报价（包括资格条件和所投产品）均符合国家有关强制规定。</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如我方中选，我方承诺在收到中选通知书后，在中选通知书规定的期限内，根据比选文件、我方的报价文件及有关澄清承诺书的要求按第五章“合同条款及格式”与采购人订立书面合同，并按照合同约定承担完成合同的责任和义务。</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7.我方已详细审核比选文件，我方知道必须放弃提出含糊不清或误解问题的权利。</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8.我方同意应贵方要求提供与本报价有关的任何数据或资料。若贵方需要，我方愿意提供我方作出的一切承诺的证明材料。</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9.我方完全理解贵方不一定接受报价最低的报价人为中选供应商的行为。</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10.我方如有下列情形之一的，自愿接受处以采购金额千分之五以上千分之十以下的违约金，列入不良行为记录名单，在一至三年内禁止参加贵司采购活动：</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（1）提供虚假材料谋取成交的；</w:t>
      </w:r>
    </w:p>
    <w:p>
      <w:pPr>
        <w:pStyle w:val="13"/>
        <w:tabs>
          <w:tab w:val="left" w:pos="1140"/>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（2）采取不正当手段诋毁、排挤其他供应商的；</w:t>
      </w:r>
    </w:p>
    <w:p>
      <w:pPr>
        <w:pStyle w:val="13"/>
        <w:tabs>
          <w:tab w:val="left" w:pos="1140"/>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（3）与采购人、其他供应商恶意串通的；</w:t>
      </w:r>
    </w:p>
    <w:p>
      <w:pPr>
        <w:pStyle w:val="13"/>
        <w:tabs>
          <w:tab w:val="left" w:pos="1140"/>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（4）向采购人行贿或者提供其他不正当利益的； </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（5）拒绝有关部门监督检查或提供虚假情况的；</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（6）通过故意减配压低价格入围，造成用户安装后无法正常使用的。</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11.我方及由本人担任法定代表人的其他机构最近三年内被通报或者被处罚的违法行为有：</w:t>
      </w:r>
    </w:p>
    <w:p>
      <w:pPr>
        <w:pStyle w:val="13"/>
        <w:spacing w:line="560" w:lineRule="exact"/>
        <w:rPr>
          <w:rFonts w:ascii="Times New Roman" w:hAnsi="Times New Roman" w:eastAsia="仿宋_GB2312"/>
          <w:sz w:val="32"/>
          <w:szCs w:val="32"/>
        </w:rPr>
      </w:pPr>
      <w:r>
        <w:rPr>
          <w:rFonts w:ascii="Times New Roman" w:hAnsi="Times New Roman" w:eastAsia="仿宋_GB2312"/>
          <w:sz w:val="32"/>
          <w:szCs w:val="32"/>
          <w:u w:val="single"/>
        </w:rPr>
        <w:t>________________________________________________________________________________</w:t>
      </w:r>
      <w:r>
        <w:rPr>
          <w:rFonts w:ascii="Times New Roman" w:hAnsi="Times New Roman" w:eastAsia="仿宋_GB2312"/>
          <w:sz w:val="32"/>
          <w:szCs w:val="32"/>
        </w:rPr>
        <w:t>。</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12.以上事项如有虚假或隐瞒，我方愿意承担一切后果，并不再寻求任何旨在减轻或免除法律责任的辩解。</w:t>
      </w:r>
    </w:p>
    <w:p>
      <w:pPr>
        <w:pStyle w:val="13"/>
        <w:spacing w:line="56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投标人：</w:t>
      </w:r>
      <w:r>
        <w:rPr>
          <w:rFonts w:ascii="Times New Roman" w:hAnsi="Times New Roman" w:eastAsia="仿宋_GB2312"/>
          <w:sz w:val="32"/>
          <w:szCs w:val="32"/>
          <w:u w:val="single"/>
        </w:rPr>
        <w:t xml:space="preserve">                               </w:t>
      </w:r>
      <w:r>
        <w:rPr>
          <w:rFonts w:ascii="Times New Roman" w:hAnsi="Times New Roman" w:eastAsia="仿宋_GB2312"/>
          <w:sz w:val="32"/>
          <w:szCs w:val="32"/>
        </w:rPr>
        <w:t>（盖单位公章）</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法定代表人或其委托代理人：</w:t>
      </w:r>
      <w:r>
        <w:rPr>
          <w:rFonts w:ascii="Times New Roman" w:hAnsi="Times New Roman" w:eastAsia="仿宋_GB2312"/>
          <w:sz w:val="32"/>
          <w:szCs w:val="32"/>
          <w:u w:val="single"/>
        </w:rPr>
        <w:t xml:space="preserve">             </w:t>
      </w:r>
      <w:r>
        <w:rPr>
          <w:rFonts w:ascii="Times New Roman" w:hAnsi="Times New Roman" w:eastAsia="仿宋_GB2312"/>
          <w:sz w:val="32"/>
          <w:szCs w:val="32"/>
        </w:rPr>
        <w:t>（签字或盖章）</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地址：</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 </w:t>
      </w:r>
    </w:p>
    <w:p>
      <w:pPr>
        <w:pStyle w:val="13"/>
        <w:spacing w:line="56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电话：</w:t>
      </w:r>
      <w:r>
        <w:rPr>
          <w:rFonts w:ascii="Times New Roman" w:hAnsi="Times New Roman" w:eastAsia="仿宋_GB2312"/>
          <w:sz w:val="32"/>
          <w:szCs w:val="32"/>
          <w:u w:val="single"/>
        </w:rPr>
        <w:t xml:space="preserve">                                      　　　　　　　　　</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传真：</w:t>
      </w:r>
      <w:r>
        <w:rPr>
          <w:rFonts w:ascii="Times New Roman" w:hAnsi="Times New Roman" w:eastAsia="仿宋_GB2312"/>
          <w:sz w:val="32"/>
          <w:szCs w:val="32"/>
          <w:u w:val="single"/>
        </w:rPr>
        <w:t>　　　　　　　　　　　　　　　　　　　　　　　　　　　　</w:t>
      </w:r>
    </w:p>
    <w:p>
      <w:pPr>
        <w:pStyle w:val="13"/>
        <w:spacing w:line="56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邮政编码：</w:t>
      </w:r>
      <w:r>
        <w:rPr>
          <w:rFonts w:ascii="Times New Roman" w:hAnsi="Times New Roman" w:eastAsia="仿宋_GB2312"/>
          <w:sz w:val="32"/>
          <w:szCs w:val="32"/>
          <w:u w:val="single"/>
        </w:rPr>
        <w:t xml:space="preserve">                                                    </w:t>
      </w:r>
    </w:p>
    <w:p>
      <w:pPr>
        <w:pStyle w:val="13"/>
        <w:spacing w:line="56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开户名称：</w:t>
      </w:r>
      <w:r>
        <w:rPr>
          <w:rFonts w:ascii="Times New Roman" w:hAnsi="Times New Roman" w:eastAsia="仿宋_GB2312"/>
          <w:sz w:val="32"/>
          <w:szCs w:val="32"/>
          <w:u w:val="single"/>
        </w:rPr>
        <w:t xml:space="preserve">                                                    </w:t>
      </w:r>
    </w:p>
    <w:p>
      <w:pPr>
        <w:pStyle w:val="13"/>
        <w:spacing w:line="56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开户银行：</w:t>
      </w:r>
      <w:r>
        <w:rPr>
          <w:rFonts w:ascii="Times New Roman" w:hAnsi="Times New Roman" w:eastAsia="仿宋_GB2312"/>
          <w:sz w:val="32"/>
          <w:szCs w:val="32"/>
          <w:u w:val="single"/>
        </w:rPr>
        <w:t xml:space="preserve">                                                    </w:t>
      </w:r>
    </w:p>
    <w:p>
      <w:pPr>
        <w:pStyle w:val="13"/>
        <w:spacing w:line="56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银行账号：</w:t>
      </w:r>
      <w:r>
        <w:rPr>
          <w:rFonts w:ascii="Times New Roman" w:hAnsi="Times New Roman" w:eastAsia="仿宋_GB2312"/>
          <w:sz w:val="32"/>
          <w:szCs w:val="32"/>
          <w:u w:val="single"/>
        </w:rPr>
        <w:t xml:space="preserve">                                                    </w:t>
      </w:r>
    </w:p>
    <w:p>
      <w:pPr>
        <w:pStyle w:val="13"/>
        <w:spacing w:line="560" w:lineRule="exact"/>
        <w:ind w:firstLine="5120" w:firstLineChars="1600"/>
        <w:rPr>
          <w:rFonts w:ascii="Times New Roman" w:hAnsi="Times New Roman"/>
          <w:u w:val="single"/>
        </w:rPr>
      </w:pPr>
      <w:r>
        <w:rPr>
          <w:rFonts w:ascii="Times New Roman" w:hAnsi="Times New Roman" w:eastAsia="仿宋_GB2312"/>
          <w:bCs/>
          <w:sz w:val="32"/>
          <w:szCs w:val="32"/>
          <w:u w:val="single"/>
        </w:rPr>
        <w:t xml:space="preserve">   2025 </w:t>
      </w:r>
      <w:r>
        <w:rPr>
          <w:rFonts w:ascii="Times New Roman" w:hAnsi="Times New Roman" w:eastAsia="仿宋_GB2312"/>
          <w:bCs/>
          <w:sz w:val="32"/>
          <w:szCs w:val="32"/>
        </w:rPr>
        <w:t>年</w:t>
      </w:r>
      <w:r>
        <w:rPr>
          <w:rFonts w:ascii="Times New Roman" w:hAnsi="Times New Roman" w:eastAsia="仿宋_GB2312"/>
          <w:bCs/>
          <w:sz w:val="32"/>
          <w:szCs w:val="32"/>
          <w:u w:val="single"/>
        </w:rPr>
        <w:t xml:space="preserve">    </w:t>
      </w:r>
      <w:r>
        <w:rPr>
          <w:rFonts w:ascii="Times New Roman" w:hAnsi="Times New Roman" w:eastAsia="仿宋_GB2312"/>
          <w:bCs/>
          <w:sz w:val="32"/>
          <w:szCs w:val="32"/>
        </w:rPr>
        <w:t>月</w:t>
      </w:r>
      <w:r>
        <w:rPr>
          <w:rFonts w:ascii="Times New Roman" w:hAnsi="Times New Roman" w:eastAsia="仿宋_GB2312"/>
          <w:bCs/>
          <w:sz w:val="32"/>
          <w:szCs w:val="32"/>
          <w:u w:val="single"/>
        </w:rPr>
        <w:t xml:space="preserve">    </w:t>
      </w:r>
      <w:r>
        <w:rPr>
          <w:rFonts w:ascii="Times New Roman" w:hAnsi="Times New Roman" w:eastAsia="仿宋_GB2312"/>
          <w:bCs/>
          <w:sz w:val="32"/>
          <w:szCs w:val="32"/>
        </w:rPr>
        <w:t>日</w:t>
      </w:r>
      <w:r>
        <w:rPr>
          <w:rFonts w:ascii="Times New Roman" w:hAnsi="Times New Roman" w:eastAsia="黑体"/>
          <w:b/>
          <w:bCs/>
        </w:rPr>
        <w:br w:type="page"/>
      </w:r>
      <w:r>
        <w:rPr>
          <w:rFonts w:hint="eastAsia" w:ascii="黑体" w:hAnsi="黑体" w:eastAsia="黑体"/>
          <w:bCs/>
          <w:sz w:val="32"/>
          <w:szCs w:val="28"/>
        </w:rPr>
        <w:t>格式2：</w:t>
      </w:r>
    </w:p>
    <w:p>
      <w:pPr>
        <w:pStyle w:val="13"/>
        <w:spacing w:line="50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报价表（格式）</w:t>
      </w:r>
    </w:p>
    <w:p>
      <w:pPr>
        <w:pStyle w:val="13"/>
        <w:rPr>
          <w:rFonts w:ascii="Times New Roman" w:hAnsi="Times New Roman"/>
          <w:sz w:val="24"/>
          <w:szCs w:val="24"/>
        </w:rPr>
      </w:pPr>
    </w:p>
    <w:tbl>
      <w:tblPr>
        <w:tblStyle w:val="28"/>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495"/>
        <w:gridCol w:w="2268"/>
        <w:gridCol w:w="992"/>
        <w:gridCol w:w="184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63" w:hRule="atLeast"/>
        </w:trPr>
        <w:tc>
          <w:tcPr>
            <w:tcW w:w="732" w:type="dxa"/>
            <w:vAlign w:val="center"/>
          </w:tcPr>
          <w:p>
            <w:pPr>
              <w:pStyle w:val="13"/>
              <w:jc w:val="center"/>
              <w:rPr>
                <w:rFonts w:ascii="Times New Roman" w:hAnsi="Times New Roman" w:eastAsia="楷体_GB2312"/>
                <w:spacing w:val="-20"/>
                <w:sz w:val="24"/>
                <w:szCs w:val="24"/>
              </w:rPr>
            </w:pPr>
            <w:r>
              <w:rPr>
                <w:rFonts w:ascii="Times New Roman" w:hAnsi="Times New Roman" w:eastAsia="楷体_GB2312"/>
                <w:spacing w:val="-20"/>
                <w:sz w:val="24"/>
                <w:szCs w:val="24"/>
              </w:rPr>
              <w:t>序号</w:t>
            </w:r>
          </w:p>
        </w:tc>
        <w:tc>
          <w:tcPr>
            <w:tcW w:w="2495" w:type="dxa"/>
            <w:vAlign w:val="center"/>
          </w:tcPr>
          <w:p>
            <w:pPr>
              <w:pStyle w:val="13"/>
              <w:jc w:val="center"/>
              <w:rPr>
                <w:rFonts w:ascii="Times New Roman" w:hAnsi="Times New Roman" w:eastAsia="楷体_GB2312"/>
                <w:spacing w:val="-20"/>
                <w:sz w:val="24"/>
                <w:szCs w:val="24"/>
              </w:rPr>
            </w:pPr>
            <w:r>
              <w:rPr>
                <w:rFonts w:ascii="Times New Roman" w:hAnsi="Times New Roman" w:eastAsia="楷体_GB2312"/>
                <w:spacing w:val="-20"/>
                <w:sz w:val="24"/>
                <w:szCs w:val="24"/>
              </w:rPr>
              <w:t>设备名称</w:t>
            </w:r>
          </w:p>
        </w:tc>
        <w:tc>
          <w:tcPr>
            <w:tcW w:w="2268" w:type="dxa"/>
            <w:vAlign w:val="center"/>
          </w:tcPr>
          <w:p>
            <w:pPr>
              <w:pStyle w:val="13"/>
              <w:jc w:val="center"/>
              <w:rPr>
                <w:rFonts w:ascii="Times New Roman" w:hAnsi="Times New Roman" w:eastAsia="楷体_GB2312"/>
                <w:spacing w:val="-20"/>
                <w:sz w:val="24"/>
                <w:szCs w:val="24"/>
              </w:rPr>
            </w:pPr>
            <w:r>
              <w:rPr>
                <w:rFonts w:ascii="Times New Roman" w:hAnsi="Times New Roman" w:eastAsia="楷体_GB2312"/>
                <w:spacing w:val="-20"/>
                <w:sz w:val="24"/>
                <w:szCs w:val="24"/>
              </w:rPr>
              <w:t>型号</w:t>
            </w:r>
          </w:p>
        </w:tc>
        <w:tc>
          <w:tcPr>
            <w:tcW w:w="992" w:type="dxa"/>
            <w:vAlign w:val="center"/>
          </w:tcPr>
          <w:p>
            <w:pPr>
              <w:pStyle w:val="13"/>
              <w:jc w:val="center"/>
              <w:rPr>
                <w:rFonts w:ascii="Times New Roman" w:hAnsi="Times New Roman" w:eastAsia="楷体_GB2312"/>
                <w:sz w:val="24"/>
                <w:szCs w:val="24"/>
              </w:rPr>
            </w:pPr>
            <w:r>
              <w:rPr>
                <w:rFonts w:ascii="Times New Roman" w:hAnsi="Times New Roman" w:eastAsia="楷体_GB2312"/>
                <w:spacing w:val="-20"/>
                <w:sz w:val="24"/>
                <w:szCs w:val="24"/>
              </w:rPr>
              <w:t>数量</w:t>
            </w:r>
          </w:p>
        </w:tc>
        <w:tc>
          <w:tcPr>
            <w:tcW w:w="1843" w:type="dxa"/>
            <w:vAlign w:val="center"/>
          </w:tcPr>
          <w:p>
            <w:pPr>
              <w:pStyle w:val="13"/>
              <w:jc w:val="center"/>
              <w:rPr>
                <w:rFonts w:ascii="Times New Roman" w:hAnsi="Times New Roman" w:eastAsia="楷体_GB2312"/>
                <w:sz w:val="24"/>
                <w:szCs w:val="24"/>
              </w:rPr>
            </w:pPr>
            <w:r>
              <w:rPr>
                <w:rFonts w:ascii="Times New Roman" w:hAnsi="Times New Roman" w:eastAsia="楷体_GB2312"/>
                <w:sz w:val="24"/>
                <w:szCs w:val="24"/>
              </w:rPr>
              <w:t>报价总额</w:t>
            </w:r>
          </w:p>
          <w:p>
            <w:pPr>
              <w:pStyle w:val="13"/>
              <w:jc w:val="center"/>
              <w:rPr>
                <w:rFonts w:ascii="Times New Roman" w:hAnsi="Times New Roman" w:eastAsia="楷体_GB2312"/>
                <w:sz w:val="24"/>
                <w:szCs w:val="24"/>
              </w:rPr>
            </w:pPr>
            <w:r>
              <w:rPr>
                <w:rFonts w:ascii="Times New Roman" w:hAnsi="Times New Roman" w:eastAsia="楷体_GB2312"/>
                <w:sz w:val="24"/>
                <w:szCs w:val="24"/>
              </w:rPr>
              <w:t>（万元）</w:t>
            </w:r>
          </w:p>
        </w:tc>
        <w:tc>
          <w:tcPr>
            <w:tcW w:w="1559" w:type="dxa"/>
            <w:vAlign w:val="center"/>
          </w:tcPr>
          <w:p>
            <w:pPr>
              <w:pStyle w:val="13"/>
              <w:jc w:val="center"/>
              <w:rPr>
                <w:rFonts w:ascii="Times New Roman" w:hAnsi="Times New Roman" w:eastAsia="楷体_GB2312"/>
                <w:sz w:val="24"/>
                <w:szCs w:val="24"/>
              </w:rPr>
            </w:pPr>
            <w:r>
              <w:rPr>
                <w:rFonts w:ascii="Times New Roman" w:hAnsi="Times New Roman" w:eastAsia="楷体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9" w:hRule="atLeast"/>
        </w:trPr>
        <w:tc>
          <w:tcPr>
            <w:tcW w:w="732" w:type="dxa"/>
            <w:vAlign w:val="center"/>
          </w:tcPr>
          <w:p>
            <w:pPr>
              <w:pStyle w:val="13"/>
              <w:jc w:val="center"/>
              <w:rPr>
                <w:rFonts w:ascii="Times New Roman" w:hAnsi="Times New Roman" w:eastAsia="楷体_GB2312"/>
                <w:sz w:val="24"/>
                <w:szCs w:val="24"/>
              </w:rPr>
            </w:pPr>
            <w:r>
              <w:rPr>
                <w:rFonts w:ascii="Times New Roman" w:hAnsi="Times New Roman" w:eastAsia="楷体_GB2312"/>
                <w:sz w:val="24"/>
                <w:szCs w:val="24"/>
              </w:rPr>
              <w:t>1</w:t>
            </w:r>
          </w:p>
        </w:tc>
        <w:tc>
          <w:tcPr>
            <w:tcW w:w="2495" w:type="dxa"/>
            <w:vAlign w:val="center"/>
          </w:tcPr>
          <w:p>
            <w:pPr>
              <w:pStyle w:val="13"/>
              <w:jc w:val="center"/>
              <w:rPr>
                <w:rFonts w:ascii="Times New Roman" w:hAnsi="Times New Roman" w:eastAsia="楷体_GB2312"/>
                <w:sz w:val="24"/>
                <w:szCs w:val="24"/>
              </w:rPr>
            </w:pPr>
          </w:p>
        </w:tc>
        <w:tc>
          <w:tcPr>
            <w:tcW w:w="2268" w:type="dxa"/>
            <w:vAlign w:val="center"/>
          </w:tcPr>
          <w:p>
            <w:pPr>
              <w:pStyle w:val="13"/>
              <w:jc w:val="center"/>
              <w:rPr>
                <w:rFonts w:ascii="Times New Roman" w:hAnsi="Times New Roman" w:eastAsia="楷体_GB2312"/>
                <w:sz w:val="24"/>
                <w:szCs w:val="24"/>
              </w:rPr>
            </w:pPr>
          </w:p>
        </w:tc>
        <w:tc>
          <w:tcPr>
            <w:tcW w:w="992" w:type="dxa"/>
            <w:vAlign w:val="center"/>
          </w:tcPr>
          <w:p>
            <w:pPr>
              <w:pStyle w:val="13"/>
              <w:rPr>
                <w:rFonts w:ascii="Times New Roman" w:hAnsi="Times New Roman" w:eastAsia="楷体_GB2312"/>
                <w:sz w:val="24"/>
                <w:szCs w:val="24"/>
              </w:rPr>
            </w:pPr>
          </w:p>
        </w:tc>
        <w:tc>
          <w:tcPr>
            <w:tcW w:w="1843" w:type="dxa"/>
            <w:vAlign w:val="center"/>
          </w:tcPr>
          <w:p>
            <w:pPr>
              <w:pStyle w:val="13"/>
              <w:rPr>
                <w:rFonts w:ascii="Times New Roman" w:hAnsi="Times New Roman" w:eastAsia="楷体_GB2312"/>
                <w:spacing w:val="-6"/>
                <w:sz w:val="24"/>
                <w:szCs w:val="24"/>
              </w:rPr>
            </w:pPr>
          </w:p>
        </w:tc>
        <w:tc>
          <w:tcPr>
            <w:tcW w:w="1559" w:type="dxa"/>
            <w:vAlign w:val="center"/>
          </w:tcPr>
          <w:p>
            <w:pPr>
              <w:pStyle w:val="13"/>
              <w:rPr>
                <w:rFonts w:ascii="Times New Roman" w:hAnsi="Times New Roman" w:eastAsia="楷体_GB2312"/>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9" w:hRule="atLeast"/>
        </w:trPr>
        <w:tc>
          <w:tcPr>
            <w:tcW w:w="732" w:type="dxa"/>
            <w:vAlign w:val="center"/>
          </w:tcPr>
          <w:p>
            <w:pPr>
              <w:pStyle w:val="13"/>
              <w:jc w:val="center"/>
              <w:rPr>
                <w:rFonts w:ascii="Times New Roman" w:hAnsi="Times New Roman" w:eastAsia="楷体_GB2312"/>
                <w:sz w:val="24"/>
                <w:szCs w:val="24"/>
              </w:rPr>
            </w:pPr>
            <w:r>
              <w:rPr>
                <w:rFonts w:ascii="Times New Roman" w:hAnsi="Times New Roman" w:eastAsia="楷体_GB2312"/>
                <w:sz w:val="24"/>
                <w:szCs w:val="24"/>
              </w:rPr>
              <w:t>2</w:t>
            </w:r>
          </w:p>
        </w:tc>
        <w:tc>
          <w:tcPr>
            <w:tcW w:w="2495" w:type="dxa"/>
            <w:vAlign w:val="center"/>
          </w:tcPr>
          <w:p>
            <w:pPr>
              <w:pStyle w:val="13"/>
              <w:jc w:val="center"/>
              <w:rPr>
                <w:rFonts w:ascii="Times New Roman" w:hAnsi="Times New Roman" w:eastAsia="楷体_GB2312"/>
                <w:sz w:val="24"/>
                <w:szCs w:val="24"/>
              </w:rPr>
            </w:pPr>
          </w:p>
        </w:tc>
        <w:tc>
          <w:tcPr>
            <w:tcW w:w="2268" w:type="dxa"/>
            <w:vAlign w:val="center"/>
          </w:tcPr>
          <w:p>
            <w:pPr>
              <w:pStyle w:val="13"/>
              <w:jc w:val="center"/>
              <w:rPr>
                <w:rFonts w:ascii="Times New Roman" w:hAnsi="Times New Roman" w:eastAsia="楷体_GB2312"/>
                <w:sz w:val="24"/>
                <w:szCs w:val="24"/>
              </w:rPr>
            </w:pPr>
          </w:p>
        </w:tc>
        <w:tc>
          <w:tcPr>
            <w:tcW w:w="992" w:type="dxa"/>
            <w:vAlign w:val="center"/>
          </w:tcPr>
          <w:p>
            <w:pPr>
              <w:pStyle w:val="13"/>
              <w:rPr>
                <w:rFonts w:ascii="Times New Roman" w:hAnsi="Times New Roman" w:eastAsia="楷体_GB2312"/>
                <w:sz w:val="24"/>
                <w:szCs w:val="24"/>
              </w:rPr>
            </w:pPr>
          </w:p>
        </w:tc>
        <w:tc>
          <w:tcPr>
            <w:tcW w:w="1843" w:type="dxa"/>
            <w:vAlign w:val="center"/>
          </w:tcPr>
          <w:p>
            <w:pPr>
              <w:pStyle w:val="13"/>
              <w:rPr>
                <w:rFonts w:ascii="Times New Roman" w:hAnsi="Times New Roman" w:eastAsia="楷体_GB2312"/>
                <w:spacing w:val="-6"/>
                <w:sz w:val="24"/>
                <w:szCs w:val="24"/>
              </w:rPr>
            </w:pPr>
          </w:p>
        </w:tc>
        <w:tc>
          <w:tcPr>
            <w:tcW w:w="1559" w:type="dxa"/>
            <w:vAlign w:val="center"/>
          </w:tcPr>
          <w:p>
            <w:pPr>
              <w:pStyle w:val="13"/>
              <w:rPr>
                <w:rFonts w:ascii="Times New Roman" w:hAnsi="Times New Roman" w:eastAsia="楷体_GB2312"/>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9" w:hRule="atLeast"/>
        </w:trPr>
        <w:tc>
          <w:tcPr>
            <w:tcW w:w="732" w:type="dxa"/>
            <w:vAlign w:val="center"/>
          </w:tcPr>
          <w:p>
            <w:pPr>
              <w:pStyle w:val="13"/>
              <w:jc w:val="center"/>
              <w:rPr>
                <w:rFonts w:ascii="Times New Roman" w:hAnsi="Times New Roman" w:eastAsia="楷体_GB2312"/>
                <w:sz w:val="24"/>
                <w:szCs w:val="24"/>
              </w:rPr>
            </w:pPr>
            <w:r>
              <w:rPr>
                <w:rFonts w:ascii="Times New Roman" w:hAnsi="Times New Roman" w:eastAsia="楷体_GB2312"/>
                <w:sz w:val="24"/>
                <w:szCs w:val="24"/>
              </w:rPr>
              <w:t>3</w:t>
            </w:r>
          </w:p>
        </w:tc>
        <w:tc>
          <w:tcPr>
            <w:tcW w:w="2495" w:type="dxa"/>
            <w:vAlign w:val="center"/>
          </w:tcPr>
          <w:p>
            <w:pPr>
              <w:pStyle w:val="13"/>
              <w:jc w:val="center"/>
              <w:rPr>
                <w:rFonts w:ascii="Times New Roman" w:hAnsi="Times New Roman" w:eastAsia="楷体_GB2312"/>
                <w:sz w:val="24"/>
                <w:szCs w:val="24"/>
              </w:rPr>
            </w:pPr>
          </w:p>
        </w:tc>
        <w:tc>
          <w:tcPr>
            <w:tcW w:w="2268" w:type="dxa"/>
            <w:vAlign w:val="center"/>
          </w:tcPr>
          <w:p>
            <w:pPr>
              <w:pStyle w:val="13"/>
              <w:jc w:val="center"/>
              <w:rPr>
                <w:rFonts w:ascii="Times New Roman" w:hAnsi="Times New Roman" w:eastAsia="楷体_GB2312"/>
                <w:sz w:val="24"/>
                <w:szCs w:val="24"/>
              </w:rPr>
            </w:pPr>
          </w:p>
        </w:tc>
        <w:tc>
          <w:tcPr>
            <w:tcW w:w="992" w:type="dxa"/>
            <w:vAlign w:val="center"/>
          </w:tcPr>
          <w:p>
            <w:pPr>
              <w:pStyle w:val="13"/>
              <w:rPr>
                <w:rFonts w:ascii="Times New Roman" w:hAnsi="Times New Roman" w:eastAsia="楷体_GB2312"/>
                <w:sz w:val="24"/>
                <w:szCs w:val="24"/>
              </w:rPr>
            </w:pPr>
          </w:p>
        </w:tc>
        <w:tc>
          <w:tcPr>
            <w:tcW w:w="1843" w:type="dxa"/>
            <w:vAlign w:val="center"/>
          </w:tcPr>
          <w:p>
            <w:pPr>
              <w:pStyle w:val="13"/>
              <w:rPr>
                <w:rFonts w:ascii="Times New Roman" w:hAnsi="Times New Roman" w:eastAsia="楷体_GB2312"/>
                <w:spacing w:val="-6"/>
                <w:sz w:val="24"/>
                <w:szCs w:val="24"/>
              </w:rPr>
            </w:pPr>
          </w:p>
        </w:tc>
        <w:tc>
          <w:tcPr>
            <w:tcW w:w="1559" w:type="dxa"/>
            <w:vAlign w:val="center"/>
          </w:tcPr>
          <w:p>
            <w:pPr>
              <w:pStyle w:val="13"/>
              <w:rPr>
                <w:rFonts w:ascii="Times New Roman" w:hAnsi="Times New Roman" w:eastAsia="楷体_GB2312"/>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9" w:hRule="atLeast"/>
        </w:trPr>
        <w:tc>
          <w:tcPr>
            <w:tcW w:w="732" w:type="dxa"/>
            <w:vAlign w:val="center"/>
          </w:tcPr>
          <w:p>
            <w:pPr>
              <w:pStyle w:val="13"/>
              <w:jc w:val="center"/>
              <w:rPr>
                <w:rFonts w:ascii="Times New Roman" w:hAnsi="Times New Roman" w:eastAsia="楷体_GB2312"/>
                <w:sz w:val="24"/>
                <w:szCs w:val="24"/>
              </w:rPr>
            </w:pPr>
            <w:r>
              <w:rPr>
                <w:rFonts w:ascii="Times New Roman" w:hAnsi="Times New Roman" w:eastAsia="楷体_GB2312"/>
                <w:sz w:val="24"/>
                <w:szCs w:val="24"/>
              </w:rPr>
              <w:t>4</w:t>
            </w:r>
          </w:p>
        </w:tc>
        <w:tc>
          <w:tcPr>
            <w:tcW w:w="2495" w:type="dxa"/>
            <w:vAlign w:val="center"/>
          </w:tcPr>
          <w:p>
            <w:pPr>
              <w:pStyle w:val="13"/>
              <w:jc w:val="center"/>
              <w:rPr>
                <w:rFonts w:ascii="Times New Roman" w:hAnsi="Times New Roman" w:eastAsia="楷体_GB2312"/>
                <w:sz w:val="24"/>
                <w:szCs w:val="24"/>
              </w:rPr>
            </w:pPr>
          </w:p>
        </w:tc>
        <w:tc>
          <w:tcPr>
            <w:tcW w:w="2268" w:type="dxa"/>
            <w:vAlign w:val="center"/>
          </w:tcPr>
          <w:p>
            <w:pPr>
              <w:pStyle w:val="13"/>
              <w:jc w:val="center"/>
              <w:rPr>
                <w:rFonts w:ascii="Times New Roman" w:hAnsi="Times New Roman" w:eastAsia="楷体_GB2312"/>
                <w:sz w:val="24"/>
                <w:szCs w:val="24"/>
              </w:rPr>
            </w:pPr>
          </w:p>
        </w:tc>
        <w:tc>
          <w:tcPr>
            <w:tcW w:w="992" w:type="dxa"/>
            <w:vAlign w:val="center"/>
          </w:tcPr>
          <w:p>
            <w:pPr>
              <w:pStyle w:val="13"/>
              <w:rPr>
                <w:rFonts w:ascii="Times New Roman" w:hAnsi="Times New Roman" w:eastAsia="楷体_GB2312"/>
                <w:sz w:val="24"/>
                <w:szCs w:val="24"/>
              </w:rPr>
            </w:pPr>
          </w:p>
        </w:tc>
        <w:tc>
          <w:tcPr>
            <w:tcW w:w="1843" w:type="dxa"/>
            <w:vAlign w:val="center"/>
          </w:tcPr>
          <w:p>
            <w:pPr>
              <w:pStyle w:val="13"/>
              <w:rPr>
                <w:rFonts w:ascii="Times New Roman" w:hAnsi="Times New Roman" w:eastAsia="楷体_GB2312"/>
                <w:spacing w:val="-6"/>
                <w:sz w:val="24"/>
                <w:szCs w:val="24"/>
              </w:rPr>
            </w:pPr>
          </w:p>
        </w:tc>
        <w:tc>
          <w:tcPr>
            <w:tcW w:w="1559" w:type="dxa"/>
            <w:vAlign w:val="center"/>
          </w:tcPr>
          <w:p>
            <w:pPr>
              <w:pStyle w:val="13"/>
              <w:rPr>
                <w:rFonts w:ascii="Times New Roman" w:hAnsi="Times New Roman" w:eastAsia="楷体_GB2312"/>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9" w:hRule="atLeast"/>
        </w:trPr>
        <w:tc>
          <w:tcPr>
            <w:tcW w:w="732" w:type="dxa"/>
            <w:vAlign w:val="center"/>
          </w:tcPr>
          <w:p>
            <w:pPr>
              <w:pStyle w:val="13"/>
              <w:jc w:val="center"/>
              <w:rPr>
                <w:rFonts w:ascii="Times New Roman" w:hAnsi="Times New Roman" w:eastAsia="楷体_GB2312"/>
                <w:sz w:val="24"/>
                <w:szCs w:val="24"/>
              </w:rPr>
            </w:pPr>
            <w:r>
              <w:rPr>
                <w:rFonts w:ascii="Times New Roman" w:hAnsi="Times New Roman" w:eastAsia="楷体_GB2312"/>
                <w:sz w:val="24"/>
                <w:szCs w:val="24"/>
              </w:rPr>
              <w:t>5</w:t>
            </w:r>
          </w:p>
        </w:tc>
        <w:tc>
          <w:tcPr>
            <w:tcW w:w="2495" w:type="dxa"/>
            <w:vAlign w:val="center"/>
          </w:tcPr>
          <w:p>
            <w:pPr>
              <w:pStyle w:val="13"/>
              <w:jc w:val="center"/>
              <w:rPr>
                <w:rFonts w:ascii="Times New Roman" w:hAnsi="Times New Roman" w:eastAsia="楷体_GB2312"/>
                <w:sz w:val="24"/>
                <w:szCs w:val="24"/>
              </w:rPr>
            </w:pPr>
          </w:p>
        </w:tc>
        <w:tc>
          <w:tcPr>
            <w:tcW w:w="2268" w:type="dxa"/>
            <w:vAlign w:val="center"/>
          </w:tcPr>
          <w:p>
            <w:pPr>
              <w:pStyle w:val="13"/>
              <w:jc w:val="center"/>
              <w:rPr>
                <w:rFonts w:ascii="Times New Roman" w:hAnsi="Times New Roman" w:eastAsia="楷体_GB2312"/>
                <w:sz w:val="24"/>
                <w:szCs w:val="24"/>
              </w:rPr>
            </w:pPr>
          </w:p>
        </w:tc>
        <w:tc>
          <w:tcPr>
            <w:tcW w:w="992" w:type="dxa"/>
            <w:vAlign w:val="center"/>
          </w:tcPr>
          <w:p>
            <w:pPr>
              <w:pStyle w:val="13"/>
              <w:rPr>
                <w:rFonts w:ascii="Times New Roman" w:hAnsi="Times New Roman" w:eastAsia="楷体_GB2312"/>
                <w:sz w:val="24"/>
                <w:szCs w:val="24"/>
              </w:rPr>
            </w:pPr>
          </w:p>
        </w:tc>
        <w:tc>
          <w:tcPr>
            <w:tcW w:w="1843" w:type="dxa"/>
            <w:vAlign w:val="center"/>
          </w:tcPr>
          <w:p>
            <w:pPr>
              <w:pStyle w:val="13"/>
              <w:rPr>
                <w:rFonts w:ascii="Times New Roman" w:hAnsi="Times New Roman" w:eastAsia="楷体_GB2312"/>
                <w:spacing w:val="-6"/>
                <w:sz w:val="24"/>
                <w:szCs w:val="24"/>
              </w:rPr>
            </w:pPr>
          </w:p>
        </w:tc>
        <w:tc>
          <w:tcPr>
            <w:tcW w:w="1559" w:type="dxa"/>
            <w:vAlign w:val="center"/>
          </w:tcPr>
          <w:p>
            <w:pPr>
              <w:pStyle w:val="13"/>
              <w:rPr>
                <w:rFonts w:ascii="Times New Roman" w:hAnsi="Times New Roman" w:eastAsia="楷体_GB2312"/>
                <w:spacing w:val="-6"/>
                <w:sz w:val="24"/>
                <w:szCs w:val="24"/>
              </w:rPr>
            </w:pPr>
          </w:p>
        </w:tc>
      </w:tr>
    </w:tbl>
    <w:p>
      <w:pPr>
        <w:pStyle w:val="13"/>
        <w:rPr>
          <w:rFonts w:ascii="Times New Roman" w:hAnsi="Times New Roman"/>
          <w:sz w:val="24"/>
          <w:szCs w:val="24"/>
        </w:rPr>
      </w:pPr>
    </w:p>
    <w:p>
      <w:pPr>
        <w:pStyle w:val="13"/>
        <w:rPr>
          <w:rFonts w:ascii="仿宋_GB2312" w:hAnsi="Times New Roman" w:eastAsia="仿宋_GB2312"/>
          <w:sz w:val="32"/>
          <w:szCs w:val="32"/>
        </w:rPr>
      </w:pPr>
      <w:r>
        <w:rPr>
          <w:rFonts w:hint="eastAsia" w:ascii="仿宋_GB2312" w:hAnsi="Times New Roman" w:eastAsia="仿宋_GB2312"/>
          <w:sz w:val="32"/>
          <w:szCs w:val="32"/>
        </w:rPr>
        <w:t>报价依据：</w:t>
      </w:r>
    </w:p>
    <w:p>
      <w:pPr>
        <w:pStyle w:val="13"/>
        <w:rPr>
          <w:rFonts w:ascii="仿宋_GB2312" w:hAnsi="Times New Roman" w:eastAsia="仿宋_GB2312"/>
          <w:sz w:val="32"/>
          <w:szCs w:val="32"/>
        </w:rPr>
      </w:pPr>
      <w:r>
        <w:rPr>
          <w:rFonts w:hint="eastAsia" w:ascii="仿宋_GB2312" w:hAnsi="Times New Roman" w:eastAsia="仿宋_GB2312"/>
          <w:sz w:val="32"/>
          <w:szCs w:val="32"/>
        </w:rPr>
        <w:t>附注：报价包含服务的价格、必要的保险费用和各项税金；包括其他如人员、设备、耗材、差旅费、杂费和管理费、培训、技术支持、咨询等全部服务产生的费用。</w:t>
      </w:r>
    </w:p>
    <w:p>
      <w:pPr>
        <w:pStyle w:val="13"/>
        <w:rPr>
          <w:rFonts w:ascii="仿宋_GB2312" w:hAnsi="Times New Roman" w:eastAsia="仿宋_GB2312"/>
          <w:sz w:val="32"/>
          <w:szCs w:val="32"/>
        </w:rPr>
      </w:pPr>
    </w:p>
    <w:p>
      <w:pPr>
        <w:pStyle w:val="13"/>
        <w:rPr>
          <w:rFonts w:hint="eastAsia" w:ascii="仿宋_GB2312" w:hAnsi="Times New Roman" w:eastAsia="仿宋_GB2312"/>
          <w:sz w:val="32"/>
          <w:szCs w:val="32"/>
        </w:rPr>
      </w:pPr>
    </w:p>
    <w:p>
      <w:pPr>
        <w:pStyle w:val="13"/>
        <w:spacing w:line="600" w:lineRule="exact"/>
        <w:ind w:right="1280" w:firstLine="2560" w:firstLineChars="800"/>
        <w:rPr>
          <w:rFonts w:ascii="仿宋_GB2312" w:hAnsi="Times New Roman" w:eastAsia="仿宋_GB2312"/>
          <w:sz w:val="32"/>
          <w:szCs w:val="32"/>
          <w:u w:val="single"/>
        </w:rPr>
      </w:pPr>
      <w:r>
        <w:rPr>
          <w:rFonts w:hint="eastAsia" w:ascii="仿宋_GB2312" w:hAnsi="Times New Roman" w:eastAsia="仿宋_GB2312"/>
          <w:sz w:val="32"/>
          <w:szCs w:val="32"/>
        </w:rPr>
        <w:t>供应商（盖单位公章）：</w:t>
      </w:r>
      <w:r>
        <w:rPr>
          <w:rFonts w:hint="eastAsia" w:ascii="仿宋_GB2312" w:hAnsi="Times New Roman" w:eastAsia="仿宋_GB2312"/>
          <w:sz w:val="32"/>
          <w:szCs w:val="32"/>
          <w:u w:val="single"/>
        </w:rPr>
        <w:t xml:space="preserve">                                    </w:t>
      </w:r>
    </w:p>
    <w:p>
      <w:pPr>
        <w:pStyle w:val="13"/>
        <w:spacing w:line="600" w:lineRule="exact"/>
        <w:jc w:val="right"/>
        <w:rPr>
          <w:rFonts w:ascii="仿宋_GB2312" w:hAnsi="Times New Roman" w:eastAsia="仿宋_GB2312"/>
          <w:sz w:val="32"/>
          <w:szCs w:val="32"/>
          <w:u w:val="single"/>
        </w:rPr>
      </w:pPr>
    </w:p>
    <w:p>
      <w:pPr>
        <w:pStyle w:val="13"/>
        <w:spacing w:line="500" w:lineRule="exact"/>
        <w:jc w:val="right"/>
        <w:rPr>
          <w:rFonts w:ascii="Times New Roman" w:hAnsi="Times New Roman"/>
          <w:sz w:val="24"/>
          <w:szCs w:val="24"/>
          <w:u w:val="single"/>
        </w:rPr>
      </w:pPr>
      <w:r>
        <w:rPr>
          <w:rFonts w:hint="eastAsia" w:ascii="仿宋_GB2312" w:hAnsi="Times New Roman" w:eastAsia="仿宋_GB2312"/>
          <w:sz w:val="32"/>
          <w:szCs w:val="32"/>
        </w:rPr>
        <w:t xml:space="preserve"> 法定代表人或其委托代理人（签字或盖章）：</w:t>
      </w:r>
      <w:r>
        <w:rPr>
          <w:rFonts w:hint="eastAsia" w:ascii="仿宋_GB2312" w:hAnsi="Times New Roman" w:eastAsia="仿宋_GB2312"/>
          <w:sz w:val="32"/>
          <w:szCs w:val="32"/>
          <w:u w:val="single"/>
        </w:rPr>
        <w:t xml:space="preserve">         </w:t>
      </w:r>
      <w:r>
        <w:rPr>
          <w:rFonts w:hint="eastAsia" w:ascii="Times New Roman" w:hAnsi="Times New Roman"/>
          <w:sz w:val="24"/>
          <w:szCs w:val="24"/>
          <w:u w:val="single"/>
        </w:rPr>
        <w:t xml:space="preserve">         </w:t>
      </w:r>
    </w:p>
    <w:p>
      <w:pPr>
        <w:pStyle w:val="13"/>
        <w:spacing w:line="500" w:lineRule="exact"/>
        <w:rPr>
          <w:rFonts w:ascii="Times New Roman" w:hAnsi="Times New Roman"/>
          <w:sz w:val="24"/>
          <w:szCs w:val="24"/>
          <w:u w:val="single"/>
        </w:rPr>
      </w:pPr>
    </w:p>
    <w:p>
      <w:pPr>
        <w:pStyle w:val="13"/>
        <w:spacing w:line="500" w:lineRule="exact"/>
        <w:rPr>
          <w:rFonts w:hint="eastAsia" w:ascii="Times New Roman" w:hAnsi="Times New Roman"/>
          <w:sz w:val="24"/>
          <w:szCs w:val="24"/>
          <w:u w:val="single"/>
        </w:rPr>
      </w:pPr>
    </w:p>
    <w:p>
      <w:pPr>
        <w:pStyle w:val="13"/>
        <w:spacing w:line="500" w:lineRule="exact"/>
        <w:rPr>
          <w:rFonts w:hint="eastAsia" w:ascii="黑体" w:hAnsi="黑体" w:eastAsia="黑体"/>
          <w:bCs/>
          <w:sz w:val="32"/>
          <w:szCs w:val="32"/>
          <w:u w:val="single"/>
        </w:rPr>
      </w:pPr>
      <w:r>
        <w:rPr>
          <w:rFonts w:ascii="Times New Roman" w:hAnsi="Times New Roman"/>
          <w:u w:val="single"/>
        </w:rPr>
        <w:br w:type="page"/>
      </w:r>
      <w:r>
        <w:rPr>
          <w:rFonts w:hint="eastAsia" w:ascii="黑体" w:hAnsi="黑体" w:eastAsia="黑体"/>
          <w:bCs/>
          <w:sz w:val="32"/>
          <w:szCs w:val="32"/>
        </w:rPr>
        <w:t>格式3：</w:t>
      </w:r>
    </w:p>
    <w:p>
      <w:pPr>
        <w:spacing w:line="52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声明书（格式）</w:t>
      </w:r>
    </w:p>
    <w:p>
      <w:pPr>
        <w:spacing w:line="520" w:lineRule="exact"/>
        <w:rPr>
          <w:rFonts w:eastAsia="仿宋_GB2312"/>
          <w:sz w:val="32"/>
          <w:szCs w:val="32"/>
        </w:rPr>
      </w:pPr>
      <w:r>
        <w:rPr>
          <w:rFonts w:eastAsia="仿宋_GB2312"/>
          <w:sz w:val="32"/>
          <w:szCs w:val="32"/>
        </w:rPr>
        <w:t>致：广西双钱健康产业股份有限公司：</w:t>
      </w:r>
    </w:p>
    <w:p>
      <w:pPr>
        <w:spacing w:line="520" w:lineRule="exact"/>
        <w:ind w:firstLine="960" w:firstLineChars="300"/>
        <w:rPr>
          <w:rFonts w:eastAsia="仿宋_GB2312"/>
          <w:sz w:val="32"/>
          <w:szCs w:val="32"/>
        </w:rPr>
      </w:pPr>
      <w:r>
        <w:rPr>
          <w:rFonts w:eastAsia="仿宋_GB2312"/>
          <w:sz w:val="32"/>
          <w:szCs w:val="32"/>
          <w:u w:val="single"/>
        </w:rPr>
        <w:t xml:space="preserve">                   </w:t>
      </w:r>
      <w:r>
        <w:rPr>
          <w:rFonts w:eastAsia="仿宋_GB2312"/>
          <w:sz w:val="32"/>
          <w:szCs w:val="32"/>
        </w:rPr>
        <w:t>（供应商名称）系中华人民共和国合法企业，经营地址</w:t>
      </w:r>
      <w:r>
        <w:rPr>
          <w:rFonts w:eastAsia="仿宋_GB2312"/>
          <w:sz w:val="32"/>
          <w:szCs w:val="32"/>
          <w:u w:val="single"/>
        </w:rPr>
        <w:t xml:space="preserve">                               </w:t>
      </w:r>
      <w:r>
        <w:rPr>
          <w:rFonts w:eastAsia="仿宋_GB2312"/>
          <w:sz w:val="32"/>
          <w:szCs w:val="32"/>
        </w:rPr>
        <w:t>。</w:t>
      </w:r>
    </w:p>
    <w:p>
      <w:pPr>
        <w:spacing w:line="520" w:lineRule="exact"/>
        <w:ind w:firstLine="640" w:firstLineChars="200"/>
        <w:rPr>
          <w:rFonts w:eastAsia="仿宋_GB2312"/>
          <w:sz w:val="32"/>
          <w:szCs w:val="32"/>
        </w:rPr>
      </w:pPr>
      <w:r>
        <w:rPr>
          <w:rFonts w:eastAsia="仿宋_GB2312"/>
          <w:sz w:val="32"/>
          <w:szCs w:val="32"/>
        </w:rPr>
        <w:t>我</w:t>
      </w:r>
      <w:r>
        <w:rPr>
          <w:rFonts w:eastAsia="仿宋_GB2312"/>
          <w:sz w:val="32"/>
          <w:szCs w:val="32"/>
          <w:u w:val="single"/>
        </w:rPr>
        <w:t xml:space="preserve">           </w:t>
      </w:r>
      <w:r>
        <w:rPr>
          <w:rFonts w:eastAsia="仿宋_GB2312"/>
          <w:sz w:val="32"/>
          <w:szCs w:val="32"/>
        </w:rPr>
        <w:t>（姓名）系</w:t>
      </w:r>
      <w:r>
        <w:rPr>
          <w:rFonts w:eastAsia="仿宋_GB2312"/>
          <w:sz w:val="32"/>
          <w:szCs w:val="32"/>
          <w:u w:val="single"/>
        </w:rPr>
        <w:t xml:space="preserve">                    </w:t>
      </w:r>
      <w:r>
        <w:rPr>
          <w:rFonts w:eastAsia="仿宋_GB2312"/>
          <w:sz w:val="32"/>
          <w:szCs w:val="32"/>
        </w:rPr>
        <w:t>（报价人名称）的法定代表人，我方愿意参加贵方组织的</w:t>
      </w:r>
      <w:r>
        <w:rPr>
          <w:rFonts w:eastAsia="仿宋_GB2312"/>
          <w:sz w:val="32"/>
          <w:szCs w:val="32"/>
          <w:u w:val="single"/>
        </w:rPr>
        <w:t xml:space="preserve">                      </w:t>
      </w:r>
      <w:r>
        <w:rPr>
          <w:rFonts w:eastAsia="仿宋_GB2312"/>
          <w:sz w:val="32"/>
          <w:szCs w:val="32"/>
        </w:rPr>
        <w:t>项目的报价，为便于贵方公正、择优地确定中选人及其报价产品和服务，我方就本次报价有关事项郑重声明如下：</w:t>
      </w:r>
    </w:p>
    <w:p>
      <w:pPr>
        <w:spacing w:line="520" w:lineRule="exact"/>
        <w:ind w:firstLine="640" w:firstLineChars="200"/>
        <w:rPr>
          <w:rFonts w:eastAsia="仿宋_GB2312"/>
          <w:sz w:val="32"/>
          <w:szCs w:val="32"/>
        </w:rPr>
      </w:pPr>
      <w:r>
        <w:rPr>
          <w:rFonts w:eastAsia="仿宋_GB2312"/>
          <w:sz w:val="32"/>
          <w:szCs w:val="32"/>
        </w:rPr>
        <w:t>1.我方向贵方提交的所有报价文件、资料都是准确的和真实的。</w:t>
      </w:r>
    </w:p>
    <w:p>
      <w:pPr>
        <w:spacing w:line="520" w:lineRule="exact"/>
        <w:ind w:firstLine="640" w:firstLineChars="200"/>
        <w:rPr>
          <w:rFonts w:eastAsia="仿宋_GB2312"/>
          <w:sz w:val="32"/>
          <w:szCs w:val="32"/>
        </w:rPr>
      </w:pPr>
      <w:r>
        <w:rPr>
          <w:rFonts w:eastAsia="仿宋_GB2312"/>
          <w:sz w:val="32"/>
          <w:szCs w:val="32"/>
        </w:rPr>
        <w:t>2.我方不是采购人的附属机构；在获知本项目采购信息后，与采购人聘请的为此项目提供咨询服务的公司及其附属机构没有任何联系。</w:t>
      </w:r>
    </w:p>
    <w:p>
      <w:pPr>
        <w:spacing w:line="520" w:lineRule="exact"/>
        <w:ind w:firstLine="640" w:firstLineChars="200"/>
        <w:rPr>
          <w:rFonts w:eastAsia="仿宋_GB2312"/>
          <w:sz w:val="32"/>
          <w:szCs w:val="32"/>
        </w:rPr>
      </w:pPr>
      <w:r>
        <w:rPr>
          <w:rFonts w:eastAsia="仿宋_GB2312"/>
          <w:sz w:val="32"/>
          <w:szCs w:val="32"/>
        </w:rPr>
        <w:t>3.我方此次向贵方提供的服务名称为：</w:t>
      </w:r>
      <w:r>
        <w:rPr>
          <w:rFonts w:eastAsia="仿宋_GB2312"/>
          <w:sz w:val="32"/>
          <w:szCs w:val="32"/>
          <w:u w:val="single"/>
        </w:rPr>
        <w:t xml:space="preserve">                 </w:t>
      </w:r>
      <w:r>
        <w:rPr>
          <w:rFonts w:eastAsia="仿宋_GB2312"/>
          <w:sz w:val="32"/>
          <w:szCs w:val="32"/>
        </w:rPr>
        <w:t>；该服务由我方人员提供。</w:t>
      </w:r>
    </w:p>
    <w:p>
      <w:pPr>
        <w:spacing w:line="520" w:lineRule="exact"/>
        <w:ind w:firstLine="640" w:firstLineChars="200"/>
        <w:rPr>
          <w:rFonts w:eastAsia="仿宋_GB2312"/>
          <w:sz w:val="32"/>
          <w:szCs w:val="32"/>
        </w:rPr>
      </w:pPr>
      <w:r>
        <w:rPr>
          <w:rFonts w:eastAsia="仿宋_GB2312"/>
          <w:sz w:val="32"/>
          <w:szCs w:val="32"/>
        </w:rPr>
        <w:t>4.我方诚意提请贵方关注：近期有关该服务的重大决策和事项有：</w:t>
      </w:r>
    </w:p>
    <w:p>
      <w:pPr>
        <w:pStyle w:val="11"/>
        <w:spacing w:line="520" w:lineRule="exact"/>
        <w:ind w:firstLine="624" w:firstLineChars="200"/>
        <w:rPr>
          <w:rFonts w:ascii="Times New Roman" w:hAnsi="Times New Roman" w:eastAsia="仿宋_GB2312"/>
          <w:sz w:val="32"/>
          <w:szCs w:val="32"/>
          <w:u w:val="single"/>
        </w:rPr>
      </w:pPr>
      <w:r>
        <w:rPr>
          <w:rFonts w:ascii="Times New Roman" w:hAnsi="Times New Roman" w:eastAsia="仿宋_GB2312"/>
          <w:sz w:val="32"/>
          <w:szCs w:val="32"/>
        </w:rPr>
        <w:t>5.以上事项如有虚假或隐瞒，我方愿意承担一切后果，并不再寻求任何旨在减轻或免除法律责任的辩解。</w:t>
      </w:r>
    </w:p>
    <w:p>
      <w:pPr>
        <w:spacing w:line="520" w:lineRule="exact"/>
        <w:rPr>
          <w:rFonts w:eastAsia="仿宋_GB2312"/>
          <w:sz w:val="32"/>
          <w:szCs w:val="32"/>
        </w:rPr>
      </w:pPr>
    </w:p>
    <w:p>
      <w:pPr>
        <w:spacing w:line="520" w:lineRule="exact"/>
        <w:ind w:firstLine="5120" w:firstLineChars="1600"/>
        <w:rPr>
          <w:rFonts w:eastAsia="仿宋_GB2312"/>
          <w:sz w:val="32"/>
          <w:szCs w:val="32"/>
          <w:u w:val="single"/>
        </w:rPr>
      </w:pPr>
      <w:r>
        <w:rPr>
          <w:rFonts w:eastAsia="仿宋_GB2312"/>
          <w:sz w:val="32"/>
          <w:szCs w:val="32"/>
        </w:rPr>
        <w:t>法定代表人签字：</w:t>
      </w:r>
    </w:p>
    <w:p>
      <w:pPr>
        <w:spacing w:line="520" w:lineRule="exact"/>
        <w:ind w:firstLine="5120" w:firstLineChars="1600"/>
        <w:rPr>
          <w:rFonts w:eastAsia="仿宋_GB2312"/>
          <w:sz w:val="32"/>
          <w:szCs w:val="32"/>
        </w:rPr>
      </w:pPr>
      <w:r>
        <w:rPr>
          <w:rFonts w:eastAsia="仿宋_GB2312"/>
          <w:sz w:val="32"/>
          <w:szCs w:val="32"/>
        </w:rPr>
        <w:t>公章：</w:t>
      </w:r>
    </w:p>
    <w:p>
      <w:pPr>
        <w:spacing w:line="520" w:lineRule="exact"/>
        <w:ind w:firstLine="5120" w:firstLineChars="1600"/>
        <w:rPr>
          <w:rFonts w:eastAsia="仿宋_GB2312"/>
          <w:sz w:val="32"/>
          <w:szCs w:val="32"/>
        </w:rPr>
      </w:pPr>
      <w:r>
        <w:rPr>
          <w:rFonts w:eastAsia="仿宋_GB2312"/>
          <w:sz w:val="32"/>
          <w:szCs w:val="32"/>
        </w:rPr>
        <w:t>2025年    月    日</w:t>
      </w:r>
    </w:p>
    <w:p>
      <w:pPr>
        <w:pStyle w:val="13"/>
        <w:spacing w:line="560" w:lineRule="exact"/>
        <w:rPr>
          <w:rFonts w:hint="eastAsia" w:ascii="黑体" w:hAnsi="黑体" w:eastAsia="黑体"/>
          <w:bCs/>
          <w:sz w:val="32"/>
          <w:szCs w:val="32"/>
        </w:rPr>
      </w:pPr>
      <w:r>
        <w:rPr>
          <w:rFonts w:ascii="Times New Roman" w:hAnsi="Times New Roman" w:eastAsia="仿宋_GB2312"/>
          <w:sz w:val="32"/>
          <w:szCs w:val="32"/>
        </w:rPr>
        <w:br w:type="page"/>
      </w:r>
      <w:r>
        <w:rPr>
          <w:rFonts w:hint="eastAsia" w:ascii="黑体" w:hAnsi="黑体" w:eastAsia="黑体"/>
          <w:bCs/>
          <w:sz w:val="32"/>
          <w:szCs w:val="32"/>
        </w:rPr>
        <w:t>格式4：</w:t>
      </w:r>
    </w:p>
    <w:p>
      <w:pPr>
        <w:pStyle w:val="13"/>
        <w:spacing w:line="50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服务承诺书（格式）</w:t>
      </w:r>
      <w:bookmarkStart w:id="140" w:name="_GoBack"/>
      <w:bookmarkEnd w:id="140"/>
    </w:p>
    <w:p>
      <w:pPr>
        <w:pStyle w:val="13"/>
        <w:jc w:val="center"/>
        <w:rPr>
          <w:rFonts w:ascii="Times New Roman" w:hAnsi="Times New Roman"/>
        </w:rPr>
      </w:pPr>
    </w:p>
    <w:p>
      <w:pPr>
        <w:pStyle w:val="13"/>
        <w:jc w:val="center"/>
        <w:rPr>
          <w:rFonts w:ascii="仿宋_GB2312" w:hAnsi="Times New Roman" w:eastAsia="仿宋_GB2312"/>
          <w:sz w:val="32"/>
          <w:szCs w:val="32"/>
        </w:rPr>
      </w:pP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由报价人按本项目比选方案文件第二章“采购需求”自行填写。</w:t>
      </w:r>
      <w:r>
        <w:rPr>
          <w:rFonts w:hint="eastAsia" w:ascii="仿宋_GB2312" w:hAnsi="Times New Roman" w:eastAsia="仿宋_GB2312"/>
          <w:sz w:val="32"/>
          <w:szCs w:val="32"/>
          <w:lang w:eastAsia="zh-CN"/>
        </w:rPr>
        <w:t>）</w:t>
      </w: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spacing w:line="560" w:lineRule="exact"/>
        <w:ind w:right="1280" w:firstLine="2560" w:firstLineChars="800"/>
        <w:rPr>
          <w:rFonts w:ascii="仿宋_GB2312" w:hAnsi="Times New Roman" w:eastAsia="仿宋_GB2312"/>
          <w:sz w:val="32"/>
          <w:szCs w:val="32"/>
          <w:u w:val="single"/>
        </w:rPr>
      </w:pPr>
      <w:r>
        <w:rPr>
          <w:rFonts w:hint="eastAsia" w:ascii="仿宋_GB2312" w:hAnsi="Times New Roman" w:eastAsia="仿宋_GB2312"/>
          <w:sz w:val="32"/>
          <w:szCs w:val="32"/>
        </w:rPr>
        <w:t>供应商（盖单位公章）：</w:t>
      </w:r>
      <w:r>
        <w:rPr>
          <w:rFonts w:hint="eastAsia" w:ascii="仿宋_GB2312" w:hAnsi="Times New Roman" w:eastAsia="仿宋_GB2312"/>
          <w:sz w:val="32"/>
          <w:szCs w:val="32"/>
          <w:u w:val="single"/>
        </w:rPr>
        <w:t xml:space="preserve">                                    </w:t>
      </w:r>
    </w:p>
    <w:p>
      <w:pPr>
        <w:pStyle w:val="13"/>
        <w:spacing w:line="560" w:lineRule="exact"/>
        <w:jc w:val="right"/>
        <w:rPr>
          <w:rFonts w:ascii="仿宋_GB2312" w:hAnsi="Times New Roman" w:eastAsia="仿宋_GB2312"/>
          <w:sz w:val="32"/>
          <w:szCs w:val="32"/>
          <w:u w:val="single"/>
        </w:rPr>
      </w:pPr>
    </w:p>
    <w:p>
      <w:pPr>
        <w:pStyle w:val="13"/>
        <w:spacing w:line="560" w:lineRule="exact"/>
        <w:jc w:val="right"/>
        <w:rPr>
          <w:rFonts w:ascii="仿宋_GB2312" w:hAnsi="Times New Roman" w:eastAsia="仿宋_GB2312"/>
          <w:sz w:val="32"/>
          <w:szCs w:val="32"/>
          <w:u w:val="single"/>
        </w:rPr>
      </w:pPr>
      <w:r>
        <w:rPr>
          <w:rFonts w:hint="eastAsia" w:ascii="仿宋_GB2312" w:hAnsi="Times New Roman" w:eastAsia="仿宋_GB2312"/>
          <w:sz w:val="32"/>
          <w:szCs w:val="32"/>
        </w:rPr>
        <w:t>法定代表人或其委托代理人（签字或盖章）：</w:t>
      </w:r>
      <w:r>
        <w:rPr>
          <w:rFonts w:hint="eastAsia" w:ascii="仿宋_GB2312" w:hAnsi="Times New Roman" w:eastAsia="仿宋_GB2312"/>
          <w:sz w:val="32"/>
          <w:szCs w:val="32"/>
          <w:u w:val="single"/>
        </w:rPr>
        <w:t xml:space="preserve">                  </w:t>
      </w:r>
    </w:p>
    <w:p>
      <w:pPr>
        <w:pStyle w:val="13"/>
        <w:spacing w:line="560" w:lineRule="exact"/>
        <w:rPr>
          <w:rFonts w:hint="eastAsia" w:ascii="黑体" w:hAnsi="黑体" w:eastAsia="黑体"/>
          <w:bCs/>
        </w:rPr>
      </w:pPr>
      <w:r>
        <w:rPr>
          <w:rFonts w:hint="eastAsia" w:ascii="仿宋_GB2312" w:hAnsi="Times New Roman" w:eastAsia="仿宋_GB2312"/>
          <w:b/>
          <w:bCs/>
          <w:sz w:val="32"/>
          <w:szCs w:val="32"/>
        </w:rPr>
        <w:br w:type="page"/>
      </w:r>
      <w:r>
        <w:rPr>
          <w:rFonts w:hint="eastAsia" w:ascii="黑体" w:hAnsi="黑体" w:eastAsia="黑体"/>
          <w:bCs/>
          <w:sz w:val="32"/>
          <w:szCs w:val="28"/>
        </w:rPr>
        <w:t>格式5：</w:t>
      </w:r>
    </w:p>
    <w:p>
      <w:pPr>
        <w:spacing w:before="331" w:beforeLines="100" w:after="165" w:afterLines="50"/>
        <w:jc w:val="center"/>
        <w:rPr>
          <w:rFonts w:hint="eastAsia" w:ascii="方正小标宋简体" w:hAnsi="黑体" w:eastAsia="方正小标宋简体"/>
          <w:bCs/>
          <w:sz w:val="44"/>
          <w:szCs w:val="44"/>
        </w:rPr>
      </w:pPr>
      <w:r>
        <w:rPr>
          <w:rFonts w:hint="eastAsia" w:ascii="方正小标宋简体" w:hAnsi="黑体" w:eastAsia="方正小标宋简体"/>
          <w:bCs/>
          <w:sz w:val="44"/>
          <w:szCs w:val="44"/>
        </w:rPr>
        <w:t>法定代表人身份证明书（格式）</w:t>
      </w:r>
    </w:p>
    <w:p>
      <w:pPr>
        <w:spacing w:line="560" w:lineRule="exact"/>
        <w:ind w:firstLine="560" w:firstLineChars="200"/>
        <w:rPr>
          <w:rFonts w:eastAsia="仿宋_GB2312"/>
          <w:sz w:val="28"/>
          <w:szCs w:val="28"/>
        </w:rPr>
      </w:pPr>
      <w:r>
        <w:rPr>
          <w:rFonts w:eastAsia="仿宋_GB2312"/>
          <w:sz w:val="28"/>
          <w:szCs w:val="28"/>
        </w:rPr>
        <w:t>供应商：</w:t>
      </w:r>
      <w:r>
        <w:rPr>
          <w:rFonts w:eastAsia="仿宋_GB2312"/>
          <w:sz w:val="28"/>
          <w:szCs w:val="28"/>
          <w:u w:val="single"/>
        </w:rPr>
        <w:t xml:space="preserve">                                                        </w:t>
      </w:r>
    </w:p>
    <w:p>
      <w:pPr>
        <w:spacing w:line="560" w:lineRule="exact"/>
        <w:ind w:firstLine="560" w:firstLineChars="200"/>
        <w:rPr>
          <w:rFonts w:eastAsia="仿宋_GB2312"/>
          <w:sz w:val="28"/>
          <w:szCs w:val="28"/>
        </w:rPr>
      </w:pPr>
      <w:r>
        <w:rPr>
          <w:rFonts w:eastAsia="仿宋_GB2312"/>
          <w:sz w:val="28"/>
          <w:szCs w:val="28"/>
        </w:rPr>
        <w:t>单位性质：</w:t>
      </w:r>
      <w:r>
        <w:rPr>
          <w:rFonts w:eastAsia="仿宋_GB2312"/>
          <w:sz w:val="28"/>
          <w:szCs w:val="28"/>
          <w:u w:val="single"/>
        </w:rPr>
        <w:t xml:space="preserve">                                                        </w:t>
      </w:r>
    </w:p>
    <w:p>
      <w:pPr>
        <w:spacing w:line="560" w:lineRule="exact"/>
        <w:ind w:firstLine="560" w:firstLineChars="200"/>
        <w:rPr>
          <w:rFonts w:eastAsia="仿宋_GB2312"/>
          <w:sz w:val="28"/>
          <w:szCs w:val="28"/>
        </w:rPr>
      </w:pPr>
      <w:r>
        <w:rPr>
          <w:rFonts w:eastAsia="仿宋_GB2312"/>
          <w:sz w:val="28"/>
          <w:szCs w:val="28"/>
        </w:rPr>
        <w:t>地    址：</w:t>
      </w:r>
      <w:r>
        <w:rPr>
          <w:rFonts w:eastAsia="仿宋_GB2312"/>
          <w:sz w:val="28"/>
          <w:szCs w:val="28"/>
          <w:u w:val="single"/>
        </w:rPr>
        <w:t xml:space="preserve">                                                        </w:t>
      </w:r>
    </w:p>
    <w:p>
      <w:pPr>
        <w:spacing w:line="560" w:lineRule="exact"/>
        <w:ind w:firstLine="560" w:firstLineChars="200"/>
        <w:rPr>
          <w:rFonts w:eastAsia="仿宋_GB2312"/>
          <w:sz w:val="28"/>
          <w:szCs w:val="28"/>
        </w:rPr>
      </w:pPr>
      <w:r>
        <w:rPr>
          <w:rFonts w:eastAsia="仿宋_GB2312"/>
          <w:sz w:val="28"/>
          <w:szCs w:val="28"/>
        </w:rPr>
        <w:t>成立时间：</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w:t>
      </w:r>
    </w:p>
    <w:p>
      <w:pPr>
        <w:spacing w:line="560" w:lineRule="exact"/>
        <w:ind w:firstLine="560" w:firstLineChars="200"/>
        <w:rPr>
          <w:rFonts w:eastAsia="仿宋_GB2312"/>
          <w:sz w:val="28"/>
          <w:szCs w:val="28"/>
        </w:rPr>
      </w:pPr>
      <w:r>
        <w:rPr>
          <w:rFonts w:eastAsia="仿宋_GB2312"/>
          <w:sz w:val="28"/>
          <w:szCs w:val="28"/>
        </w:rPr>
        <w:t>经营期限：</w:t>
      </w:r>
      <w:r>
        <w:rPr>
          <w:rFonts w:eastAsia="仿宋_GB2312"/>
          <w:sz w:val="28"/>
          <w:szCs w:val="28"/>
          <w:u w:val="single"/>
        </w:rPr>
        <w:t xml:space="preserve">                                                        </w:t>
      </w:r>
    </w:p>
    <w:p>
      <w:pPr>
        <w:spacing w:line="560" w:lineRule="exact"/>
        <w:ind w:firstLine="560" w:firstLineChars="200"/>
        <w:rPr>
          <w:rFonts w:eastAsia="仿宋_GB2312"/>
          <w:sz w:val="28"/>
          <w:szCs w:val="28"/>
        </w:rPr>
      </w:pPr>
      <w:r>
        <w:rPr>
          <w:rFonts w:eastAsia="仿宋_GB2312"/>
          <w:sz w:val="28"/>
          <w:szCs w:val="28"/>
        </w:rPr>
        <w:t>姓    名：</w:t>
      </w:r>
      <w:r>
        <w:rPr>
          <w:rFonts w:eastAsia="仿宋_GB2312"/>
          <w:sz w:val="28"/>
          <w:szCs w:val="28"/>
          <w:u w:val="single"/>
        </w:rPr>
        <w:t xml:space="preserve">                          </w:t>
      </w:r>
      <w:r>
        <w:rPr>
          <w:rFonts w:eastAsia="仿宋_GB2312"/>
          <w:sz w:val="28"/>
          <w:szCs w:val="28"/>
        </w:rPr>
        <w:t>性</w:t>
      </w:r>
      <w:r>
        <w:rPr>
          <w:rFonts w:hint="eastAsia" w:eastAsia="仿宋_GB2312"/>
          <w:sz w:val="28"/>
          <w:szCs w:val="28"/>
        </w:rPr>
        <w:t xml:space="preserve">    </w:t>
      </w:r>
      <w:r>
        <w:rPr>
          <w:rFonts w:eastAsia="仿宋_GB2312"/>
          <w:sz w:val="28"/>
          <w:szCs w:val="28"/>
        </w:rPr>
        <w:t>别：</w:t>
      </w:r>
      <w:r>
        <w:rPr>
          <w:rFonts w:eastAsia="仿宋_GB2312"/>
          <w:sz w:val="28"/>
          <w:szCs w:val="28"/>
          <w:u w:val="single"/>
        </w:rPr>
        <w:t xml:space="preserve">                </w:t>
      </w:r>
    </w:p>
    <w:p>
      <w:pPr>
        <w:spacing w:line="560" w:lineRule="exact"/>
        <w:ind w:firstLine="560" w:firstLineChars="200"/>
        <w:rPr>
          <w:rFonts w:eastAsia="仿宋_GB2312"/>
          <w:sz w:val="28"/>
          <w:szCs w:val="28"/>
          <w:u w:val="single"/>
        </w:rPr>
      </w:pPr>
      <w:r>
        <w:rPr>
          <w:rFonts w:eastAsia="仿宋_GB2312"/>
          <w:sz w:val="28"/>
          <w:szCs w:val="28"/>
        </w:rPr>
        <w:t>年    龄：</w:t>
      </w:r>
      <w:r>
        <w:rPr>
          <w:rFonts w:eastAsia="仿宋_GB2312"/>
          <w:sz w:val="28"/>
          <w:szCs w:val="28"/>
          <w:u w:val="single"/>
        </w:rPr>
        <w:t xml:space="preserve">                          </w:t>
      </w:r>
      <w:r>
        <w:rPr>
          <w:rFonts w:eastAsia="仿宋_GB2312"/>
          <w:sz w:val="28"/>
          <w:szCs w:val="28"/>
        </w:rPr>
        <w:t>职</w:t>
      </w:r>
      <w:r>
        <w:rPr>
          <w:rFonts w:hint="eastAsia" w:eastAsia="仿宋_GB2312"/>
          <w:sz w:val="28"/>
          <w:szCs w:val="28"/>
        </w:rPr>
        <w:t xml:space="preserve">    </w:t>
      </w:r>
      <w:r>
        <w:rPr>
          <w:rFonts w:eastAsia="仿宋_GB2312"/>
          <w:sz w:val="28"/>
          <w:szCs w:val="28"/>
        </w:rPr>
        <w:t>务：</w:t>
      </w:r>
      <w:r>
        <w:rPr>
          <w:rFonts w:eastAsia="仿宋_GB2312"/>
          <w:sz w:val="28"/>
          <w:szCs w:val="28"/>
          <w:u w:val="single"/>
        </w:rPr>
        <w:t xml:space="preserve">                </w:t>
      </w:r>
    </w:p>
    <w:p>
      <w:pPr>
        <w:spacing w:line="560" w:lineRule="exact"/>
        <w:ind w:firstLine="560" w:firstLineChars="200"/>
        <w:rPr>
          <w:rFonts w:eastAsia="仿宋_GB2312"/>
          <w:sz w:val="28"/>
          <w:szCs w:val="28"/>
        </w:rPr>
      </w:pPr>
      <w:r>
        <w:rPr>
          <w:rFonts w:eastAsia="仿宋_GB2312"/>
          <w:sz w:val="28"/>
          <w:szCs w:val="28"/>
        </w:rPr>
        <w:t>身份证号码：</w:t>
      </w:r>
      <w:r>
        <w:rPr>
          <w:rFonts w:eastAsia="仿宋_GB2312"/>
          <w:sz w:val="28"/>
          <w:szCs w:val="28"/>
          <w:u w:val="single"/>
        </w:rPr>
        <w:t xml:space="preserve">                                 </w:t>
      </w:r>
    </w:p>
    <w:p>
      <w:pPr>
        <w:spacing w:line="560" w:lineRule="exact"/>
        <w:ind w:firstLine="560" w:firstLineChars="200"/>
        <w:rPr>
          <w:rFonts w:eastAsia="仿宋_GB2312"/>
          <w:sz w:val="28"/>
          <w:szCs w:val="28"/>
        </w:rPr>
      </w:pPr>
      <w:r>
        <w:rPr>
          <w:rFonts w:eastAsia="仿宋_GB2312"/>
          <w:sz w:val="28"/>
          <w:szCs w:val="28"/>
        </w:rPr>
        <w:t>系</w:t>
      </w:r>
      <w:r>
        <w:rPr>
          <w:rFonts w:eastAsia="仿宋_GB2312"/>
          <w:sz w:val="28"/>
          <w:szCs w:val="28"/>
          <w:u w:val="single"/>
        </w:rPr>
        <w:t xml:space="preserve">                                </w:t>
      </w:r>
      <w:r>
        <w:rPr>
          <w:rFonts w:eastAsia="仿宋_GB2312"/>
          <w:sz w:val="28"/>
          <w:szCs w:val="28"/>
        </w:rPr>
        <w:t>（供应商名称）的法定代表人。</w:t>
      </w:r>
    </w:p>
    <w:p>
      <w:pPr>
        <w:spacing w:line="560" w:lineRule="exact"/>
        <w:ind w:firstLine="560" w:firstLineChars="200"/>
        <w:rPr>
          <w:rFonts w:eastAsia="仿宋_GB2312"/>
          <w:sz w:val="28"/>
          <w:szCs w:val="28"/>
        </w:rPr>
      </w:pPr>
      <w:r>
        <w:rPr>
          <w:rFonts w:eastAsia="仿宋_GB2312"/>
          <w:sz w:val="28"/>
          <w:szCs w:val="28"/>
        </w:rPr>
        <w:t>特此证明。</w:t>
      </w:r>
    </w:p>
    <w:p>
      <w:pPr>
        <w:spacing w:line="560" w:lineRule="exact"/>
        <w:ind w:firstLine="560" w:firstLineChars="200"/>
        <w:rPr>
          <w:rFonts w:eastAsia="仿宋_GB2312"/>
          <w:sz w:val="28"/>
          <w:szCs w:val="28"/>
        </w:rPr>
      </w:pPr>
    </w:p>
    <w:p>
      <w:pPr>
        <w:spacing w:line="560" w:lineRule="exact"/>
        <w:ind w:firstLine="560" w:firstLineChars="200"/>
        <w:rPr>
          <w:rFonts w:eastAsia="仿宋_GB2312"/>
          <w:sz w:val="28"/>
          <w:szCs w:val="28"/>
        </w:rPr>
      </w:pPr>
      <w:r>
        <w:rPr>
          <w:rFonts w:eastAsia="仿宋_GB2312"/>
          <w:sz w:val="28"/>
          <w:szCs w:val="28"/>
        </w:rPr>
        <w:t>附件：法定代表人有效身份证正反面复印件</w:t>
      </w:r>
    </w:p>
    <w:p>
      <w:pPr>
        <w:spacing w:line="560" w:lineRule="exact"/>
        <w:ind w:firstLine="560" w:firstLineChars="200"/>
        <w:rPr>
          <w:rFonts w:eastAsia="仿宋_GB2312"/>
          <w:sz w:val="28"/>
          <w:szCs w:val="28"/>
        </w:rPr>
      </w:pPr>
    </w:p>
    <w:p>
      <w:pPr>
        <w:spacing w:line="560" w:lineRule="exact"/>
        <w:jc w:val="right"/>
        <w:rPr>
          <w:rFonts w:eastAsia="仿宋_GB2312"/>
          <w:sz w:val="28"/>
          <w:szCs w:val="28"/>
        </w:rPr>
      </w:pPr>
      <w:r>
        <w:rPr>
          <w:rFonts w:eastAsia="仿宋_GB2312"/>
          <w:sz w:val="28"/>
          <w:szCs w:val="28"/>
        </w:rPr>
        <w:t>投标人：</w:t>
      </w:r>
      <w:r>
        <w:rPr>
          <w:rFonts w:eastAsia="仿宋_GB2312"/>
          <w:sz w:val="28"/>
          <w:szCs w:val="28"/>
          <w:u w:val="single"/>
        </w:rPr>
        <w:t xml:space="preserve">                          </w:t>
      </w:r>
      <w:r>
        <w:rPr>
          <w:rFonts w:eastAsia="仿宋_GB2312"/>
          <w:sz w:val="28"/>
          <w:szCs w:val="28"/>
        </w:rPr>
        <w:t>（盖单位章）</w:t>
      </w:r>
    </w:p>
    <w:p>
      <w:pPr>
        <w:spacing w:line="560" w:lineRule="exact"/>
        <w:jc w:val="right"/>
        <w:rPr>
          <w:rFonts w:eastAsia="仿宋_GB2312"/>
          <w:sz w:val="28"/>
          <w:szCs w:val="28"/>
        </w:rPr>
      </w:pPr>
    </w:p>
    <w:p>
      <w:pPr>
        <w:pStyle w:val="13"/>
        <w:spacing w:line="560" w:lineRule="exact"/>
        <w:jc w:val="right"/>
        <w:rPr>
          <w:rFonts w:ascii="Times New Roman" w:hAnsi="Times New Roman" w:eastAsia="仿宋_GB2312"/>
          <w:b/>
          <w:sz w:val="22"/>
          <w:szCs w:val="21"/>
        </w:rPr>
      </w:pPr>
      <w:r>
        <w:rPr>
          <w:rFonts w:hint="eastAsia" w:ascii="Times New Roman" w:hAnsi="Times New Roman" w:eastAsia="仿宋_GB2312"/>
          <w:sz w:val="28"/>
          <w:szCs w:val="21"/>
          <w:u w:val="single"/>
        </w:rPr>
        <w:t xml:space="preserve"> </w:t>
      </w:r>
      <w:r>
        <w:rPr>
          <w:rFonts w:ascii="Times New Roman" w:hAnsi="Times New Roman" w:eastAsia="仿宋_GB2312"/>
          <w:sz w:val="28"/>
          <w:szCs w:val="21"/>
          <w:u w:val="single"/>
        </w:rPr>
        <w:t xml:space="preserve">  2025  </w:t>
      </w:r>
      <w:r>
        <w:rPr>
          <w:rFonts w:ascii="Times New Roman" w:hAnsi="Times New Roman" w:eastAsia="仿宋_GB2312"/>
          <w:sz w:val="28"/>
          <w:szCs w:val="21"/>
        </w:rPr>
        <w:t>年</w:t>
      </w:r>
      <w:r>
        <w:rPr>
          <w:rFonts w:ascii="Times New Roman" w:hAnsi="Times New Roman" w:eastAsia="仿宋_GB2312"/>
          <w:sz w:val="28"/>
          <w:szCs w:val="21"/>
          <w:u w:val="single"/>
        </w:rPr>
        <w:t xml:space="preserve">      </w:t>
      </w:r>
      <w:r>
        <w:rPr>
          <w:rFonts w:ascii="Times New Roman" w:hAnsi="Times New Roman" w:eastAsia="仿宋_GB2312"/>
          <w:sz w:val="28"/>
          <w:szCs w:val="21"/>
        </w:rPr>
        <w:t>月</w:t>
      </w:r>
      <w:r>
        <w:rPr>
          <w:rFonts w:ascii="Times New Roman" w:hAnsi="Times New Roman" w:eastAsia="仿宋_GB2312"/>
          <w:sz w:val="28"/>
          <w:szCs w:val="21"/>
          <w:u w:val="single"/>
        </w:rPr>
        <w:t xml:space="preserve">      </w:t>
      </w:r>
      <w:r>
        <w:rPr>
          <w:rFonts w:ascii="Times New Roman" w:hAnsi="Times New Roman" w:eastAsia="仿宋_GB2312"/>
          <w:sz w:val="28"/>
          <w:szCs w:val="21"/>
        </w:rPr>
        <w:t>日</w:t>
      </w:r>
    </w:p>
    <w:p>
      <w:pPr>
        <w:pStyle w:val="13"/>
        <w:spacing w:line="600" w:lineRule="exact"/>
        <w:jc w:val="right"/>
        <w:rPr>
          <w:rFonts w:ascii="Times New Roman" w:hAnsi="Times New Roman"/>
          <w:b/>
        </w:rPr>
      </w:pPr>
    </w:p>
    <w:p>
      <w:pPr>
        <w:pStyle w:val="13"/>
        <w:spacing w:line="600" w:lineRule="exact"/>
        <w:rPr>
          <w:rFonts w:ascii="Times New Roman" w:hAnsi="Times New Roman"/>
        </w:rPr>
      </w:pPr>
    </w:p>
    <w:p>
      <w:pPr>
        <w:pStyle w:val="13"/>
        <w:spacing w:line="500" w:lineRule="exact"/>
        <w:rPr>
          <w:rFonts w:hint="eastAsia" w:ascii="黑体" w:hAnsi="黑体" w:eastAsia="黑体"/>
          <w:sz w:val="32"/>
          <w:szCs w:val="32"/>
        </w:rPr>
      </w:pPr>
    </w:p>
    <w:p>
      <w:pPr>
        <w:pStyle w:val="13"/>
        <w:spacing w:line="500" w:lineRule="exact"/>
        <w:rPr>
          <w:rFonts w:hint="eastAsia" w:ascii="黑体" w:hAnsi="黑体" w:eastAsia="黑体"/>
          <w:sz w:val="32"/>
          <w:szCs w:val="32"/>
        </w:rPr>
      </w:pPr>
      <w:r>
        <w:rPr>
          <w:rFonts w:hint="eastAsia" w:ascii="黑体" w:hAnsi="黑体" w:eastAsia="黑体"/>
          <w:sz w:val="32"/>
          <w:szCs w:val="32"/>
        </w:rPr>
        <w:t>格式6：</w:t>
      </w:r>
    </w:p>
    <w:p>
      <w:pPr>
        <w:pStyle w:val="13"/>
        <w:spacing w:line="500" w:lineRule="exact"/>
        <w:jc w:val="center"/>
        <w:rPr>
          <w:rFonts w:hint="eastAsia" w:ascii="方正小标宋简体" w:hAnsi="黑体" w:eastAsia="方正小标宋简体"/>
          <w:sz w:val="40"/>
          <w:szCs w:val="40"/>
        </w:rPr>
      </w:pPr>
      <w:r>
        <w:rPr>
          <w:rFonts w:hint="eastAsia" w:ascii="方正小标宋简体" w:hAnsi="黑体" w:eastAsia="方正小标宋简体"/>
          <w:sz w:val="40"/>
          <w:szCs w:val="40"/>
        </w:rPr>
        <w:t>法定代表人授权委托书（格式）</w:t>
      </w:r>
    </w:p>
    <w:p>
      <w:pPr>
        <w:pStyle w:val="13"/>
        <w:spacing w:line="500" w:lineRule="exact"/>
        <w:ind w:firstLine="420" w:firstLineChars="200"/>
        <w:rPr>
          <w:rFonts w:ascii="Times New Roman" w:hAnsi="Times New Roman"/>
          <w:u w:val="single"/>
        </w:rPr>
      </w:pPr>
    </w:p>
    <w:p>
      <w:pPr>
        <w:pStyle w:val="13"/>
        <w:spacing w:line="560" w:lineRule="exact"/>
        <w:rPr>
          <w:rFonts w:ascii="仿宋_GB2312" w:hAnsi="Times New Roman" w:eastAsia="仿宋_GB2312"/>
          <w:sz w:val="28"/>
          <w:szCs w:val="28"/>
        </w:rPr>
      </w:pPr>
      <w:r>
        <w:rPr>
          <w:rFonts w:hint="eastAsia" w:ascii="仿宋_GB2312" w:hAnsi="Times New Roman" w:eastAsia="仿宋_GB2312"/>
          <w:sz w:val="28"/>
          <w:szCs w:val="28"/>
        </w:rPr>
        <w:t>致：广西双钱健康产业股份有限公司</w:t>
      </w:r>
    </w:p>
    <w:p>
      <w:pPr>
        <w:pStyle w:val="13"/>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本人</w:t>
      </w:r>
      <w:r>
        <w:rPr>
          <w:rFonts w:hint="eastAsia" w:ascii="仿宋_GB2312" w:hAnsi="Times New Roman" w:eastAsia="仿宋_GB2312"/>
          <w:sz w:val="28"/>
          <w:szCs w:val="28"/>
          <w:u w:val="single"/>
        </w:rPr>
        <w:t xml:space="preserve">    （姓名）    </w:t>
      </w:r>
      <w:r>
        <w:rPr>
          <w:rFonts w:hint="eastAsia" w:ascii="仿宋_GB2312" w:hAnsi="Times New Roman" w:eastAsia="仿宋_GB2312"/>
          <w:sz w:val="28"/>
          <w:szCs w:val="28"/>
        </w:rPr>
        <w:t>系</w:t>
      </w:r>
      <w:r>
        <w:rPr>
          <w:rFonts w:hint="eastAsia" w:ascii="仿宋_GB2312" w:hAnsi="Times New Roman" w:eastAsia="仿宋_GB2312"/>
          <w:sz w:val="28"/>
          <w:szCs w:val="28"/>
          <w:u w:val="single"/>
        </w:rPr>
        <w:t xml:space="preserve">     （单位名称）     </w:t>
      </w:r>
      <w:r>
        <w:rPr>
          <w:rFonts w:hint="eastAsia" w:ascii="仿宋_GB2312" w:hAnsi="Times New Roman" w:eastAsia="仿宋_GB2312"/>
          <w:sz w:val="28"/>
          <w:szCs w:val="28"/>
        </w:rPr>
        <w:t>的法定代表人，现授权我单位在职正式员工</w:t>
      </w:r>
      <w:r>
        <w:rPr>
          <w:rFonts w:hint="eastAsia" w:ascii="仿宋_GB2312" w:hAnsi="Times New Roman" w:eastAsia="仿宋_GB2312"/>
          <w:sz w:val="28"/>
          <w:szCs w:val="28"/>
          <w:u w:val="single"/>
        </w:rPr>
        <w:t xml:space="preserve">    （姓名和职务）    </w:t>
      </w:r>
      <w:r>
        <w:rPr>
          <w:rFonts w:hint="eastAsia" w:ascii="仿宋_GB2312" w:hAnsi="Times New Roman" w:eastAsia="仿宋_GB2312"/>
          <w:sz w:val="28"/>
          <w:szCs w:val="28"/>
        </w:rPr>
        <w:t>为我方代理人。代理人根据授权，以我方名义签署、澄清、说明、补正、递交、撤回、修改贵方组织的</w:t>
      </w:r>
      <w:r>
        <w:rPr>
          <w:rFonts w:hint="eastAsia" w:ascii="仿宋_GB2312" w:hAnsi="Times New Roman" w:eastAsia="仿宋_GB2312"/>
          <w:sz w:val="28"/>
          <w:szCs w:val="28"/>
          <w:u w:val="single"/>
        </w:rPr>
        <w:t xml:space="preserve">   （项目名称）     </w:t>
      </w:r>
      <w:r>
        <w:rPr>
          <w:rFonts w:hint="eastAsia" w:ascii="仿宋_GB2312" w:hAnsi="Times New Roman" w:eastAsia="仿宋_GB2312"/>
          <w:sz w:val="28"/>
          <w:szCs w:val="28"/>
        </w:rPr>
        <w:t>项目的文件、签订合同和处理一切有关事宜，其法律后果由我方承担。</w:t>
      </w:r>
    </w:p>
    <w:p>
      <w:pPr>
        <w:pStyle w:val="13"/>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本授权书于</w:t>
      </w:r>
      <w:r>
        <w:rPr>
          <w:rFonts w:hint="eastAsia" w:ascii="仿宋_GB2312" w:hAnsi="Times New Roman" w:eastAsia="仿宋_GB2312"/>
          <w:spacing w:val="10"/>
          <w:sz w:val="28"/>
          <w:szCs w:val="28"/>
          <w:u w:val="single"/>
        </w:rPr>
        <w:t xml:space="preserve">    </w:t>
      </w:r>
      <w:r>
        <w:rPr>
          <w:rFonts w:hint="eastAsia" w:ascii="仿宋_GB2312" w:hAnsi="Times New Roman" w:eastAsia="仿宋_GB2312"/>
          <w:sz w:val="28"/>
          <w:szCs w:val="28"/>
        </w:rPr>
        <w:t>年</w:t>
      </w:r>
      <w:r>
        <w:rPr>
          <w:rFonts w:hint="eastAsia" w:ascii="仿宋_GB2312" w:hAnsi="Times New Roman" w:eastAsia="仿宋_GB2312"/>
          <w:spacing w:val="10"/>
          <w:sz w:val="28"/>
          <w:szCs w:val="28"/>
          <w:u w:val="single"/>
        </w:rPr>
        <w:t xml:space="preserve">    </w:t>
      </w:r>
      <w:r>
        <w:rPr>
          <w:rFonts w:hint="eastAsia" w:ascii="仿宋_GB2312" w:hAnsi="Times New Roman" w:eastAsia="仿宋_GB2312"/>
          <w:sz w:val="28"/>
          <w:szCs w:val="28"/>
        </w:rPr>
        <w:t>月</w:t>
      </w:r>
      <w:r>
        <w:rPr>
          <w:rFonts w:hint="eastAsia" w:ascii="仿宋_GB2312" w:hAnsi="Times New Roman" w:eastAsia="仿宋_GB2312"/>
          <w:spacing w:val="10"/>
          <w:sz w:val="28"/>
          <w:szCs w:val="28"/>
          <w:u w:val="single"/>
        </w:rPr>
        <w:t xml:space="preserve">    </w:t>
      </w:r>
      <w:r>
        <w:rPr>
          <w:rFonts w:hint="eastAsia" w:ascii="仿宋_GB2312" w:hAnsi="Times New Roman" w:eastAsia="仿宋_GB2312"/>
          <w:sz w:val="28"/>
          <w:szCs w:val="28"/>
        </w:rPr>
        <w:t>日签字生效，委托期限：</w:t>
      </w:r>
      <w:r>
        <w:rPr>
          <w:rFonts w:hint="eastAsia" w:ascii="仿宋_GB2312" w:hAnsi="Times New Roman" w:eastAsia="仿宋_GB2312"/>
          <w:spacing w:val="10"/>
          <w:sz w:val="28"/>
          <w:szCs w:val="28"/>
          <w:u w:val="single"/>
        </w:rPr>
        <w:t xml:space="preserve">    </w:t>
      </w:r>
      <w:r>
        <w:rPr>
          <w:rFonts w:hint="eastAsia" w:ascii="仿宋_GB2312" w:hAnsi="Times New Roman" w:eastAsia="仿宋_GB2312"/>
          <w:sz w:val="28"/>
          <w:szCs w:val="28"/>
        </w:rPr>
        <w:t>。</w:t>
      </w:r>
    </w:p>
    <w:p>
      <w:pPr>
        <w:pStyle w:val="13"/>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代理人无转委托权。</w:t>
      </w:r>
    </w:p>
    <w:p>
      <w:pPr>
        <w:pStyle w:val="13"/>
        <w:spacing w:line="560" w:lineRule="exact"/>
        <w:ind w:firstLine="560" w:firstLineChars="200"/>
        <w:rPr>
          <w:rFonts w:ascii="仿宋_GB2312" w:hAnsi="Times New Roman" w:eastAsia="仿宋_GB2312"/>
          <w:sz w:val="28"/>
          <w:szCs w:val="28"/>
        </w:rPr>
      </w:pPr>
    </w:p>
    <w:p>
      <w:pPr>
        <w:pStyle w:val="13"/>
        <w:spacing w:line="560" w:lineRule="exact"/>
        <w:ind w:right="1680" w:firstLine="3360" w:firstLineChars="1200"/>
        <w:jc w:val="right"/>
        <w:rPr>
          <w:rFonts w:ascii="仿宋_GB2312" w:hAnsi="Times New Roman" w:eastAsia="仿宋_GB2312"/>
          <w:sz w:val="28"/>
          <w:szCs w:val="28"/>
          <w:u w:val="single"/>
        </w:rPr>
      </w:pPr>
      <w:r>
        <w:rPr>
          <w:rFonts w:hint="eastAsia" w:ascii="仿宋_GB2312" w:hAnsi="Times New Roman" w:eastAsia="仿宋_GB2312"/>
          <w:sz w:val="28"/>
          <w:szCs w:val="28"/>
        </w:rPr>
        <w:t>供应商（盖单位公章）：</w:t>
      </w:r>
    </w:p>
    <w:p>
      <w:pPr>
        <w:pStyle w:val="13"/>
        <w:spacing w:line="560" w:lineRule="exact"/>
        <w:ind w:right="1120" w:firstLine="3360" w:firstLineChars="1200"/>
        <w:jc w:val="right"/>
        <w:rPr>
          <w:rFonts w:ascii="仿宋_GB2312" w:hAnsi="Times New Roman" w:eastAsia="仿宋_GB2312"/>
          <w:sz w:val="28"/>
          <w:szCs w:val="28"/>
          <w:u w:val="single"/>
        </w:rPr>
      </w:pPr>
      <w:r>
        <w:rPr>
          <w:rFonts w:hint="eastAsia" w:ascii="仿宋_GB2312" w:hAnsi="Times New Roman" w:eastAsia="仿宋_GB2312"/>
          <w:sz w:val="28"/>
          <w:szCs w:val="28"/>
        </w:rPr>
        <w:t>法定代表人（签字或盖章）：</w:t>
      </w:r>
    </w:p>
    <w:p>
      <w:pPr>
        <w:pStyle w:val="13"/>
        <w:spacing w:line="560" w:lineRule="exact"/>
        <w:ind w:right="1680" w:firstLine="3360" w:firstLineChars="1200"/>
        <w:jc w:val="right"/>
        <w:rPr>
          <w:rFonts w:ascii="仿宋_GB2312" w:hAnsi="Times New Roman" w:eastAsia="仿宋_GB2312"/>
          <w:sz w:val="28"/>
          <w:szCs w:val="28"/>
          <w:u w:val="single"/>
        </w:rPr>
      </w:pPr>
      <w:r>
        <w:rPr>
          <w:rFonts w:hint="eastAsia" w:ascii="仿宋_GB2312" w:hAnsi="Times New Roman" w:eastAsia="仿宋_GB2312"/>
          <w:sz w:val="28"/>
          <w:szCs w:val="28"/>
        </w:rPr>
        <w:t>法定代表人身份证号码：</w:t>
      </w:r>
      <w:r>
        <w:rPr>
          <w:rFonts w:hint="eastAsia" w:ascii="仿宋_GB2312" w:hAnsi="Times New Roman" w:eastAsia="仿宋_GB2312"/>
          <w:sz w:val="28"/>
          <w:szCs w:val="28"/>
          <w:u w:val="single"/>
        </w:rPr>
        <w:t xml:space="preserve"> </w:t>
      </w:r>
    </w:p>
    <w:p>
      <w:pPr>
        <w:pStyle w:val="13"/>
        <w:spacing w:line="560" w:lineRule="exact"/>
        <w:ind w:right="1120" w:firstLine="3360" w:firstLineChars="1200"/>
        <w:jc w:val="right"/>
        <w:rPr>
          <w:rFonts w:ascii="仿宋_GB2312" w:hAnsi="Times New Roman" w:eastAsia="仿宋_GB2312"/>
          <w:sz w:val="28"/>
          <w:szCs w:val="28"/>
        </w:rPr>
      </w:pPr>
      <w:r>
        <w:rPr>
          <w:rFonts w:hint="eastAsia" w:ascii="仿宋_GB2312" w:hAnsi="Times New Roman" w:eastAsia="仿宋_GB2312"/>
          <w:sz w:val="28"/>
          <w:szCs w:val="28"/>
        </w:rPr>
        <w:t>委托代理人（签字或盖章）：</w:t>
      </w:r>
    </w:p>
    <w:p>
      <w:pPr>
        <w:pStyle w:val="13"/>
        <w:spacing w:line="560" w:lineRule="exact"/>
        <w:ind w:right="1680" w:firstLine="560" w:firstLineChars="200"/>
        <w:jc w:val="right"/>
        <w:rPr>
          <w:rFonts w:ascii="Times New Roman" w:hAnsi="Times New Roman"/>
          <w:sz w:val="24"/>
          <w:szCs w:val="24"/>
          <w:u w:val="single"/>
        </w:rPr>
      </w:pPr>
      <w:r>
        <w:rPr>
          <w:rFonts w:hint="eastAsia" w:ascii="仿宋_GB2312" w:hAnsi="Times New Roman" w:eastAsia="仿宋_GB2312"/>
          <w:sz w:val="28"/>
          <w:szCs w:val="28"/>
        </w:rPr>
        <w:t xml:space="preserve">               委托代理人身份证号码：</w:t>
      </w:r>
      <w:r>
        <w:rPr>
          <w:rFonts w:hint="eastAsia" w:ascii="仿宋_GB2312" w:hAnsi="Times New Roman" w:eastAsia="仿宋_GB2312"/>
          <w:sz w:val="28"/>
          <w:szCs w:val="28"/>
          <w:u w:val="single"/>
        </w:rPr>
        <w:t xml:space="preserve"> </w:t>
      </w:r>
      <w:r>
        <w:rPr>
          <w:rFonts w:hint="eastAsia" w:ascii="Times New Roman" w:hAnsi="Times New Roman"/>
          <w:sz w:val="24"/>
          <w:szCs w:val="24"/>
          <w:u w:val="single"/>
        </w:rPr>
        <w:t xml:space="preserve"> </w:t>
      </w:r>
    </w:p>
    <w:p>
      <w:pPr>
        <w:pStyle w:val="13"/>
        <w:spacing w:line="360" w:lineRule="auto"/>
        <w:jc w:val="right"/>
        <w:rPr>
          <w:rFonts w:ascii="Times New Roman" w:hAnsi="Times New Roman"/>
          <w:sz w:val="24"/>
          <w:szCs w:val="24"/>
          <w:u w:val="single"/>
        </w:rPr>
      </w:pPr>
    </w:p>
    <w:p>
      <w:pPr>
        <w:pStyle w:val="13"/>
        <w:spacing w:line="360" w:lineRule="auto"/>
        <w:rPr>
          <w:rFonts w:ascii="Times New Roman" w:hAnsi="Times New Roman"/>
        </w:rPr>
      </w:pPr>
    </w:p>
    <w:p>
      <w:pPr>
        <w:pStyle w:val="13"/>
        <w:spacing w:line="360" w:lineRule="auto"/>
        <w:rPr>
          <w:rFonts w:ascii="Times New Roman" w:hAnsi="Times New Roman"/>
        </w:rPr>
      </w:pPr>
    </w:p>
    <w:p>
      <w:pPr>
        <w:pStyle w:val="13"/>
        <w:spacing w:line="360" w:lineRule="auto"/>
        <w:rPr>
          <w:rFonts w:ascii="Times New Roman" w:hAnsi="Times New Roman"/>
        </w:rPr>
      </w:pPr>
    </w:p>
    <w:p>
      <w:pPr>
        <w:pStyle w:val="13"/>
        <w:spacing w:line="360" w:lineRule="auto"/>
        <w:rPr>
          <w:rFonts w:ascii="Times New Roman" w:hAnsi="Times New Roman"/>
        </w:rPr>
      </w:pPr>
    </w:p>
    <w:p>
      <w:pPr>
        <w:pStyle w:val="13"/>
        <w:spacing w:line="360" w:lineRule="auto"/>
        <w:rPr>
          <w:rFonts w:ascii="Times New Roman" w:hAnsi="Times New Roman"/>
        </w:rPr>
      </w:pPr>
    </w:p>
    <w:p>
      <w:pPr>
        <w:pStyle w:val="13"/>
        <w:spacing w:line="360" w:lineRule="auto"/>
        <w:rPr>
          <w:rFonts w:ascii="Times New Roman" w:hAnsi="Times New Roman"/>
        </w:rPr>
      </w:pPr>
    </w:p>
    <w:p>
      <w:pPr>
        <w:pStyle w:val="13"/>
        <w:spacing w:line="360" w:lineRule="auto"/>
        <w:rPr>
          <w:rFonts w:hint="eastAsia" w:ascii="黑体" w:hAnsi="黑体" w:eastAsia="黑体"/>
          <w:sz w:val="32"/>
          <w:szCs w:val="28"/>
        </w:rPr>
      </w:pPr>
      <w:r>
        <w:rPr>
          <w:rFonts w:hint="eastAsia" w:ascii="黑体" w:hAnsi="黑体" w:eastAsia="黑体"/>
          <w:sz w:val="32"/>
          <w:szCs w:val="28"/>
        </w:rPr>
        <w:t>格式7：</w:t>
      </w:r>
    </w:p>
    <w:p>
      <w:pPr>
        <w:pStyle w:val="13"/>
        <w:spacing w:line="360" w:lineRule="auto"/>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比选</w:t>
      </w:r>
      <w:r>
        <w:rPr>
          <w:rFonts w:hint="eastAsia" w:ascii="方正小标宋简体" w:hAnsi="黑体" w:eastAsia="方正小标宋简体" w:cs="Arial"/>
          <w:sz w:val="44"/>
          <w:szCs w:val="44"/>
        </w:rPr>
        <w:t>邀请应邀函</w:t>
      </w:r>
    </w:p>
    <w:p>
      <w:pPr>
        <w:pStyle w:val="13"/>
        <w:spacing w:line="360" w:lineRule="auto"/>
        <w:rPr>
          <w:rFonts w:ascii="Times New Roman" w:hAnsi="Times New Roman" w:cs="Arial"/>
          <w:b/>
          <w:bCs/>
          <w:sz w:val="24"/>
          <w:szCs w:val="24"/>
        </w:rPr>
      </w:pPr>
    </w:p>
    <w:p>
      <w:pPr>
        <w:pStyle w:val="13"/>
        <w:spacing w:line="560" w:lineRule="exact"/>
        <w:rPr>
          <w:rFonts w:ascii="Times New Roman" w:hAnsi="Times New Roman" w:eastAsia="仿宋_GB2312"/>
          <w:sz w:val="32"/>
          <w:szCs w:val="32"/>
        </w:rPr>
      </w:pPr>
      <w:r>
        <w:rPr>
          <w:rFonts w:ascii="Times New Roman" w:hAnsi="Times New Roman" w:eastAsia="仿宋_GB2312"/>
          <w:sz w:val="32"/>
          <w:szCs w:val="32"/>
        </w:rPr>
        <w:t>广西双钱健康产业股份有限公司：</w:t>
      </w:r>
    </w:p>
    <w:p>
      <w:pPr>
        <w:spacing w:line="560" w:lineRule="exact"/>
        <w:ind w:firstLine="640" w:firstLineChars="200"/>
        <w:rPr>
          <w:rFonts w:eastAsia="仿宋_GB2312"/>
          <w:sz w:val="32"/>
          <w:szCs w:val="32"/>
        </w:rPr>
      </w:pPr>
      <w:r>
        <w:rPr>
          <w:rFonts w:eastAsia="仿宋_GB2312"/>
          <w:sz w:val="32"/>
          <w:szCs w:val="32"/>
        </w:rPr>
        <w:t>我单位收到贵公司发来的相关《</w:t>
      </w:r>
      <w:r>
        <w:rPr>
          <w:rFonts w:eastAsia="仿宋_GB2312"/>
          <w:bCs/>
          <w:sz w:val="32"/>
          <w:szCs w:val="32"/>
        </w:rPr>
        <w:t>塑碗前包装装篮自动化设备采购</w:t>
      </w:r>
      <w:r>
        <w:rPr>
          <w:rFonts w:eastAsia="仿宋_GB2312"/>
          <w:sz w:val="32"/>
          <w:szCs w:val="32"/>
        </w:rPr>
        <w:t>采购 （编号：SQ-202502）项目比选方案》的比选邀请函，现作书面回复，愿意参加该项目的比选，并响应方案要求递交相关文件。</w:t>
      </w:r>
    </w:p>
    <w:p>
      <w:pPr>
        <w:pStyle w:val="13"/>
        <w:spacing w:line="560" w:lineRule="exact"/>
        <w:ind w:firstLine="640" w:firstLineChars="200"/>
        <w:rPr>
          <w:rFonts w:ascii="Times New Roman" w:hAnsi="Times New Roman" w:eastAsia="仿宋_GB2312"/>
          <w:sz w:val="32"/>
          <w:szCs w:val="32"/>
        </w:rPr>
      </w:pPr>
    </w:p>
    <w:p>
      <w:pPr>
        <w:pStyle w:val="13"/>
        <w:spacing w:line="560" w:lineRule="exact"/>
        <w:rPr>
          <w:rFonts w:ascii="Times New Roman" w:hAnsi="Times New Roman" w:eastAsia="仿宋_GB2312"/>
          <w:sz w:val="32"/>
          <w:szCs w:val="32"/>
        </w:rPr>
      </w:pPr>
    </w:p>
    <w:p>
      <w:pPr>
        <w:pStyle w:val="13"/>
        <w:spacing w:line="560" w:lineRule="exact"/>
        <w:ind w:right="1280" w:firstLine="4800" w:firstLineChars="1500"/>
        <w:rPr>
          <w:rFonts w:ascii="Times New Roman" w:hAnsi="Times New Roman" w:eastAsia="仿宋_GB2312"/>
          <w:sz w:val="32"/>
          <w:szCs w:val="32"/>
        </w:rPr>
      </w:pPr>
      <w:r>
        <w:rPr>
          <w:rFonts w:ascii="Times New Roman" w:hAnsi="Times New Roman" w:eastAsia="仿宋_GB2312"/>
          <w:sz w:val="32"/>
          <w:szCs w:val="32"/>
        </w:rPr>
        <w:t>应邀单位：</w:t>
      </w:r>
    </w:p>
    <w:p>
      <w:pPr>
        <w:pStyle w:val="13"/>
        <w:spacing w:line="560" w:lineRule="exact"/>
        <w:ind w:right="1280" w:firstLine="640" w:firstLineChars="200"/>
        <w:jc w:val="center"/>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应邀单位联系人：</w:t>
      </w:r>
    </w:p>
    <w:p>
      <w:pPr>
        <w:pStyle w:val="13"/>
        <w:spacing w:line="560" w:lineRule="exact"/>
        <w:ind w:right="1280" w:firstLine="4800" w:firstLineChars="1500"/>
        <w:rPr>
          <w:rFonts w:ascii="Times New Roman" w:hAnsi="Times New Roman" w:eastAsia="仿宋_GB2312"/>
          <w:sz w:val="32"/>
          <w:szCs w:val="32"/>
        </w:rPr>
      </w:pPr>
      <w:r>
        <w:rPr>
          <w:rFonts w:ascii="Times New Roman" w:hAnsi="Times New Roman" w:eastAsia="仿宋_GB2312"/>
          <w:sz w:val="32"/>
          <w:szCs w:val="32"/>
        </w:rPr>
        <w:t>联系人电话：</w:t>
      </w:r>
    </w:p>
    <w:p>
      <w:pPr>
        <w:pStyle w:val="13"/>
        <w:spacing w:line="560" w:lineRule="exact"/>
        <w:ind w:firstLine="640" w:firstLineChars="200"/>
        <w:jc w:val="right"/>
        <w:rPr>
          <w:rFonts w:ascii="Times New Roman" w:hAnsi="Times New Roman" w:eastAsia="仿宋_GB2312"/>
          <w:sz w:val="32"/>
          <w:szCs w:val="32"/>
        </w:rPr>
      </w:pPr>
      <w:r>
        <w:rPr>
          <w:rFonts w:ascii="Times New Roman" w:hAnsi="Times New Roman" w:eastAsia="仿宋_GB2312"/>
          <w:sz w:val="32"/>
          <w:szCs w:val="32"/>
        </w:rPr>
        <w:t>应邀日期：</w:t>
      </w:r>
      <w:bookmarkStart w:id="133" w:name="_Toc213325925"/>
      <w:bookmarkStart w:id="134" w:name="_Toc213206176"/>
      <w:r>
        <w:rPr>
          <w:rFonts w:ascii="Times New Roman" w:hAnsi="Times New Roman" w:eastAsia="仿宋_GB2312"/>
          <w:sz w:val="32"/>
          <w:szCs w:val="32"/>
        </w:rPr>
        <w:t>2025年  月   日</w:t>
      </w:r>
    </w:p>
    <w:p>
      <w:pPr>
        <w:pStyle w:val="13"/>
        <w:spacing w:line="360" w:lineRule="auto"/>
        <w:ind w:firstLine="5880" w:firstLineChars="2800"/>
        <w:rPr>
          <w:rFonts w:ascii="Times New Roman" w:hAnsi="Times New Roman"/>
        </w:rPr>
      </w:pPr>
    </w:p>
    <w:p>
      <w:pPr>
        <w:pStyle w:val="13"/>
        <w:spacing w:line="360" w:lineRule="auto"/>
        <w:ind w:firstLine="5880" w:firstLineChars="2800"/>
        <w:rPr>
          <w:rFonts w:ascii="Times New Roman" w:hAnsi="Times New Roman"/>
        </w:rPr>
      </w:pPr>
    </w:p>
    <w:p>
      <w:pPr>
        <w:pStyle w:val="13"/>
        <w:spacing w:line="360" w:lineRule="auto"/>
        <w:ind w:firstLine="5880" w:firstLineChars="2800"/>
        <w:rPr>
          <w:rFonts w:ascii="Times New Roman" w:hAnsi="Times New Roman"/>
        </w:rPr>
      </w:pPr>
    </w:p>
    <w:p>
      <w:pPr>
        <w:pStyle w:val="13"/>
        <w:spacing w:line="360" w:lineRule="auto"/>
        <w:ind w:firstLine="5880" w:firstLineChars="2800"/>
        <w:rPr>
          <w:rFonts w:ascii="Times New Roman" w:hAnsi="Times New Roman"/>
        </w:rPr>
      </w:pPr>
    </w:p>
    <w:p>
      <w:pPr>
        <w:pStyle w:val="13"/>
        <w:spacing w:line="360" w:lineRule="auto"/>
        <w:ind w:firstLine="5880" w:firstLineChars="2800"/>
        <w:rPr>
          <w:rFonts w:ascii="Times New Roman" w:hAnsi="Times New Roman"/>
        </w:rPr>
      </w:pPr>
    </w:p>
    <w:p>
      <w:pPr>
        <w:pStyle w:val="13"/>
        <w:spacing w:line="360" w:lineRule="auto"/>
        <w:ind w:firstLine="5880" w:firstLineChars="2800"/>
        <w:rPr>
          <w:rFonts w:ascii="Times New Roman" w:hAnsi="Times New Roman"/>
        </w:rPr>
      </w:pPr>
    </w:p>
    <w:p>
      <w:pPr>
        <w:pStyle w:val="13"/>
        <w:spacing w:line="360" w:lineRule="auto"/>
        <w:ind w:firstLine="5880" w:firstLineChars="2800"/>
        <w:rPr>
          <w:rFonts w:ascii="Times New Roman" w:hAnsi="Times New Roman"/>
        </w:rPr>
      </w:pPr>
    </w:p>
    <w:p>
      <w:pPr>
        <w:pStyle w:val="13"/>
        <w:spacing w:line="360" w:lineRule="auto"/>
        <w:ind w:firstLine="5880" w:firstLineChars="2800"/>
        <w:rPr>
          <w:rFonts w:ascii="Times New Roman" w:hAnsi="Times New Roman"/>
        </w:rPr>
      </w:pPr>
    </w:p>
    <w:p>
      <w:pPr>
        <w:pStyle w:val="13"/>
        <w:spacing w:line="360" w:lineRule="auto"/>
        <w:ind w:firstLine="5880" w:firstLineChars="2800"/>
        <w:rPr>
          <w:rFonts w:ascii="Times New Roman" w:hAnsi="Times New Roman"/>
        </w:rPr>
      </w:pPr>
    </w:p>
    <w:p>
      <w:pPr>
        <w:pStyle w:val="13"/>
        <w:spacing w:line="560" w:lineRule="exact"/>
        <w:jc w:val="center"/>
        <w:outlineLvl w:val="0"/>
        <w:rPr>
          <w:rFonts w:ascii="方正小标宋简体" w:hAnsi="Times New Roman" w:eastAsia="方正小标宋简体"/>
          <w:bCs/>
          <w:sz w:val="44"/>
          <w:szCs w:val="44"/>
        </w:rPr>
      </w:pPr>
      <w:bookmarkStart w:id="135" w:name="_Toc519678421"/>
      <w:r>
        <w:rPr>
          <w:rFonts w:hint="eastAsia" w:ascii="方正小标宋简体" w:hAnsi="Times New Roman" w:eastAsia="方正小标宋简体"/>
          <w:bCs/>
          <w:sz w:val="44"/>
          <w:szCs w:val="44"/>
        </w:rPr>
        <w:t>第五章  合同条款及格式</w:t>
      </w:r>
      <w:bookmarkEnd w:id="131"/>
      <w:bookmarkEnd w:id="132"/>
      <w:bookmarkEnd w:id="133"/>
      <w:bookmarkEnd w:id="134"/>
      <w:bookmarkEnd w:id="135"/>
    </w:p>
    <w:p>
      <w:pPr>
        <w:pStyle w:val="13"/>
        <w:spacing w:line="560" w:lineRule="exact"/>
        <w:jc w:val="center"/>
        <w:outlineLvl w:val="0"/>
        <w:rPr>
          <w:rFonts w:ascii="方正小标宋简体" w:hAnsi="Times New Roman" w:eastAsia="方正小标宋简体"/>
          <w:bCs/>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塑碗前包装装篮自动化设备采购合同（格式）</w:t>
      </w:r>
    </w:p>
    <w:p>
      <w:pPr>
        <w:spacing w:line="560" w:lineRule="exact"/>
        <w:rPr>
          <w:sz w:val="24"/>
        </w:rPr>
      </w:pP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买方（以下简称甲方）：广西双钱健康产业股份有限公司</w:t>
      </w:r>
      <w:r>
        <w:rPr>
          <w:rFonts w:hint="eastAsia" w:ascii="仿宋_GB2312" w:eastAsia="仿宋_GB2312"/>
          <w:b/>
          <w:sz w:val="32"/>
          <w:szCs w:val="32"/>
          <w:u w:val="single"/>
        </w:rPr>
        <w:t xml:space="preserve">                  </w:t>
      </w:r>
      <w:r>
        <w:rPr>
          <w:rFonts w:hint="eastAsia" w:ascii="仿宋_GB2312" w:eastAsia="仿宋_GB2312"/>
          <w:b/>
          <w:sz w:val="32"/>
          <w:szCs w:val="32"/>
        </w:rPr>
        <w:t xml:space="preserve"> </w:t>
      </w:r>
      <w:r>
        <w:rPr>
          <w:rFonts w:hint="eastAsia" w:ascii="仿宋_GB2312" w:eastAsia="仿宋_GB2312"/>
          <w:b/>
          <w:sz w:val="32"/>
          <w:szCs w:val="32"/>
          <w:u w:val="single"/>
        </w:rPr>
        <w:t xml:space="preserve">            </w:t>
      </w:r>
    </w:p>
    <w:p>
      <w:pPr>
        <w:spacing w:line="560" w:lineRule="exact"/>
        <w:ind w:firstLine="643" w:firstLineChars="200"/>
        <w:rPr>
          <w:rFonts w:eastAsia="仿宋_GB2312"/>
          <w:b/>
          <w:sz w:val="32"/>
          <w:szCs w:val="32"/>
        </w:rPr>
      </w:pPr>
      <w:r>
        <w:rPr>
          <w:rFonts w:hint="eastAsia" w:ascii="仿宋_GB2312" w:eastAsia="仿宋_GB2312"/>
          <w:b/>
          <w:sz w:val="32"/>
          <w:szCs w:val="32"/>
        </w:rPr>
        <w:t>卖方</w:t>
      </w:r>
      <w:r>
        <w:rPr>
          <w:rFonts w:eastAsia="仿宋_GB2312"/>
          <w:b/>
          <w:sz w:val="32"/>
          <w:szCs w:val="32"/>
        </w:rPr>
        <w:t>（以下简称乙方）：</w:t>
      </w:r>
      <w:r>
        <w:rPr>
          <w:rFonts w:eastAsia="仿宋_GB2312"/>
          <w:snapToGrid w:val="0"/>
          <w:kern w:val="0"/>
          <w:sz w:val="32"/>
          <w:szCs w:val="32"/>
          <w:u w:val="single"/>
        </w:rPr>
        <w:t xml:space="preserve">                                </w:t>
      </w:r>
      <w:r>
        <w:rPr>
          <w:rFonts w:eastAsia="仿宋_GB2312"/>
          <w:b/>
          <w:sz w:val="32"/>
          <w:szCs w:val="32"/>
          <w:u w:val="single"/>
        </w:rPr>
        <w:t xml:space="preserve">         </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甲方通过</w:t>
      </w:r>
      <w:r>
        <w:rPr>
          <w:rFonts w:ascii="Times New Roman" w:hAnsi="Times New Roman" w:eastAsia="仿宋_GB2312"/>
          <w:sz w:val="32"/>
          <w:szCs w:val="32"/>
          <w:u w:val="single"/>
        </w:rPr>
        <w:t>比选采购</w:t>
      </w:r>
      <w:r>
        <w:rPr>
          <w:rFonts w:ascii="Times New Roman" w:hAnsi="Times New Roman" w:eastAsia="仿宋_GB2312"/>
          <w:sz w:val="32"/>
          <w:szCs w:val="32"/>
        </w:rPr>
        <w:t>方式确定乙方作为</w:t>
      </w:r>
      <w:r>
        <w:rPr>
          <w:rFonts w:ascii="Times New Roman" w:hAnsi="Times New Roman" w:eastAsia="仿宋_GB2312"/>
          <w:sz w:val="32"/>
          <w:szCs w:val="32"/>
          <w:u w:val="single"/>
        </w:rPr>
        <w:t>塑碗前包装装篮自动化设备采购项目</w:t>
      </w:r>
      <w:r>
        <w:rPr>
          <w:rFonts w:ascii="Times New Roman" w:hAnsi="Times New Roman" w:eastAsia="仿宋_GB2312"/>
          <w:sz w:val="32"/>
          <w:szCs w:val="32"/>
        </w:rPr>
        <w:t>（编号：</w:t>
      </w:r>
      <w:r>
        <w:rPr>
          <w:rFonts w:ascii="Times New Roman" w:hAnsi="Times New Roman" w:eastAsia="仿宋_GB2312"/>
          <w:sz w:val="32"/>
          <w:szCs w:val="32"/>
          <w:u w:val="single"/>
        </w:rPr>
        <w:t>SQ-202502</w:t>
      </w:r>
      <w:r>
        <w:rPr>
          <w:rFonts w:ascii="Times New Roman" w:hAnsi="Times New Roman" w:eastAsia="仿宋_GB2312"/>
          <w:sz w:val="32"/>
          <w:szCs w:val="32"/>
        </w:rPr>
        <w:t>）的中选供应商，根据《中华人民共和国民法典》和有关法律法规，甲乙双方本着诚实信用、平等互利的原则，签订本合同，以供双方共同遵守：</w:t>
      </w:r>
    </w:p>
    <w:p>
      <w:pPr>
        <w:pStyle w:val="13"/>
        <w:spacing w:line="560" w:lineRule="exact"/>
        <w:ind w:firstLine="640" w:firstLineChars="200"/>
        <w:rPr>
          <w:rFonts w:ascii="Times New Roman" w:hAnsi="Times New Roman" w:eastAsia="黑体"/>
          <w:bCs/>
          <w:sz w:val="32"/>
          <w:szCs w:val="32"/>
        </w:rPr>
      </w:pPr>
      <w:r>
        <w:rPr>
          <w:rFonts w:ascii="Times New Roman" w:hAnsi="Times New Roman" w:eastAsia="黑体"/>
          <w:bCs/>
          <w:sz w:val="32"/>
          <w:szCs w:val="32"/>
        </w:rPr>
        <w:t>一、合同文件</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本合同所附下列文件是构成本合同不可分割的部分，与合同正文具有同等效力：</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1.中选通知书；</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2.乙方响应项目所提交的报价表、售后服务承诺等全部报价文件；</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3.甲方的采购文件；</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4.甲、乙双方商定的补充协议；</w:t>
      </w:r>
    </w:p>
    <w:p>
      <w:pPr>
        <w:pStyle w:val="13"/>
        <w:spacing w:line="560" w:lineRule="exact"/>
        <w:ind w:firstLine="640" w:firstLineChars="200"/>
        <w:rPr>
          <w:rFonts w:ascii="Times New Roman" w:hAnsi="Times New Roman" w:eastAsia="黑体"/>
          <w:bCs/>
          <w:sz w:val="32"/>
          <w:szCs w:val="32"/>
        </w:rPr>
      </w:pPr>
      <w:r>
        <w:rPr>
          <w:rFonts w:ascii="Times New Roman" w:hAnsi="Times New Roman" w:eastAsia="黑体"/>
          <w:bCs/>
          <w:sz w:val="32"/>
          <w:szCs w:val="32"/>
        </w:rPr>
        <w:t>二、合同范围和条件</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本合同的范围和条件与上述合同文件的规定相一致。</w:t>
      </w:r>
    </w:p>
    <w:p>
      <w:pPr>
        <w:pStyle w:val="13"/>
        <w:spacing w:line="560" w:lineRule="exact"/>
        <w:ind w:firstLine="640" w:firstLineChars="200"/>
        <w:rPr>
          <w:rFonts w:ascii="Times New Roman" w:hAnsi="Times New Roman" w:eastAsia="黑体"/>
          <w:bCs/>
          <w:sz w:val="32"/>
          <w:szCs w:val="32"/>
        </w:rPr>
      </w:pPr>
      <w:r>
        <w:rPr>
          <w:rFonts w:ascii="Times New Roman" w:hAnsi="Times New Roman" w:eastAsia="黑体"/>
          <w:bCs/>
          <w:sz w:val="32"/>
          <w:szCs w:val="32"/>
        </w:rPr>
        <w:t>三、货物采购和服务内容</w:t>
      </w:r>
    </w:p>
    <w:p>
      <w:pPr>
        <w:pStyle w:val="13"/>
        <w:tabs>
          <w:tab w:val="left" w:pos="5150"/>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1.合同标的</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994"/>
        <w:gridCol w:w="992"/>
        <w:gridCol w:w="852"/>
        <w:gridCol w:w="1560"/>
        <w:gridCol w:w="1133"/>
        <w:gridCol w:w="1275"/>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0" w:type="dxa"/>
            <w:vAlign w:val="center"/>
          </w:tcPr>
          <w:p>
            <w:pPr>
              <w:spacing w:line="440" w:lineRule="exact"/>
              <w:jc w:val="center"/>
              <w:rPr>
                <w:b/>
                <w:sz w:val="24"/>
              </w:rPr>
            </w:pPr>
            <w:r>
              <w:rPr>
                <w:rFonts w:hint="eastAsia"/>
                <w:b/>
                <w:sz w:val="24"/>
              </w:rPr>
              <w:t>货物名称</w:t>
            </w:r>
          </w:p>
        </w:tc>
        <w:tc>
          <w:tcPr>
            <w:tcW w:w="994" w:type="dxa"/>
            <w:vAlign w:val="center"/>
          </w:tcPr>
          <w:p>
            <w:pPr>
              <w:spacing w:line="440" w:lineRule="exact"/>
              <w:jc w:val="center"/>
              <w:rPr>
                <w:rFonts w:cs="宋体"/>
                <w:b/>
                <w:bCs/>
                <w:kern w:val="0"/>
                <w:sz w:val="24"/>
              </w:rPr>
            </w:pPr>
            <w:r>
              <w:rPr>
                <w:rFonts w:hint="eastAsia" w:cs="宋体"/>
                <w:b/>
                <w:bCs/>
                <w:kern w:val="0"/>
                <w:sz w:val="24"/>
              </w:rPr>
              <w:t>品牌</w:t>
            </w:r>
          </w:p>
        </w:tc>
        <w:tc>
          <w:tcPr>
            <w:tcW w:w="992" w:type="dxa"/>
            <w:vAlign w:val="center"/>
          </w:tcPr>
          <w:p>
            <w:pPr>
              <w:spacing w:line="440" w:lineRule="exact"/>
              <w:jc w:val="center"/>
              <w:rPr>
                <w:rFonts w:cs="宋体"/>
                <w:b/>
                <w:bCs/>
                <w:kern w:val="0"/>
                <w:sz w:val="24"/>
              </w:rPr>
            </w:pPr>
            <w:r>
              <w:rPr>
                <w:rFonts w:hint="eastAsia" w:cs="宋体"/>
                <w:b/>
                <w:bCs/>
                <w:kern w:val="0"/>
                <w:sz w:val="24"/>
              </w:rPr>
              <w:t>厂家</w:t>
            </w:r>
          </w:p>
        </w:tc>
        <w:tc>
          <w:tcPr>
            <w:tcW w:w="852" w:type="dxa"/>
            <w:vAlign w:val="center"/>
          </w:tcPr>
          <w:p>
            <w:pPr>
              <w:spacing w:line="440" w:lineRule="exact"/>
              <w:jc w:val="center"/>
              <w:rPr>
                <w:rFonts w:cs="宋体"/>
                <w:b/>
                <w:bCs/>
                <w:kern w:val="0"/>
                <w:sz w:val="24"/>
              </w:rPr>
            </w:pPr>
            <w:r>
              <w:rPr>
                <w:rFonts w:hint="eastAsia" w:cs="宋体"/>
                <w:b/>
                <w:bCs/>
                <w:kern w:val="0"/>
                <w:sz w:val="24"/>
              </w:rPr>
              <w:t>产地</w:t>
            </w:r>
          </w:p>
        </w:tc>
        <w:tc>
          <w:tcPr>
            <w:tcW w:w="1560" w:type="dxa"/>
            <w:vAlign w:val="center"/>
          </w:tcPr>
          <w:p>
            <w:pPr>
              <w:spacing w:line="440" w:lineRule="exact"/>
              <w:jc w:val="center"/>
              <w:rPr>
                <w:b/>
                <w:sz w:val="24"/>
              </w:rPr>
            </w:pPr>
            <w:r>
              <w:rPr>
                <w:rFonts w:hint="eastAsia" w:cs="宋体"/>
                <w:b/>
                <w:bCs/>
                <w:kern w:val="0"/>
                <w:sz w:val="24"/>
              </w:rPr>
              <w:t>技术参数、性能（配置）及其他要求</w:t>
            </w:r>
          </w:p>
        </w:tc>
        <w:tc>
          <w:tcPr>
            <w:tcW w:w="1133" w:type="dxa"/>
            <w:vAlign w:val="center"/>
          </w:tcPr>
          <w:p>
            <w:pPr>
              <w:spacing w:line="440" w:lineRule="exact"/>
              <w:jc w:val="center"/>
              <w:rPr>
                <w:b/>
                <w:sz w:val="24"/>
              </w:rPr>
            </w:pPr>
            <w:r>
              <w:rPr>
                <w:rFonts w:hint="eastAsia"/>
                <w:b/>
                <w:sz w:val="24"/>
              </w:rPr>
              <w:t>数量（单位）</w:t>
            </w:r>
          </w:p>
        </w:tc>
        <w:tc>
          <w:tcPr>
            <w:tcW w:w="1275" w:type="dxa"/>
            <w:vAlign w:val="center"/>
          </w:tcPr>
          <w:p>
            <w:pPr>
              <w:spacing w:line="440" w:lineRule="exact"/>
              <w:jc w:val="center"/>
              <w:rPr>
                <w:b/>
                <w:sz w:val="24"/>
              </w:rPr>
            </w:pPr>
            <w:r>
              <w:rPr>
                <w:rFonts w:hint="eastAsia"/>
                <w:b/>
                <w:sz w:val="24"/>
              </w:rPr>
              <w:t>单价（人民币元）</w:t>
            </w:r>
          </w:p>
        </w:tc>
        <w:tc>
          <w:tcPr>
            <w:tcW w:w="1526" w:type="dxa"/>
            <w:vAlign w:val="center"/>
          </w:tcPr>
          <w:p>
            <w:pPr>
              <w:spacing w:line="440" w:lineRule="exact"/>
              <w:jc w:val="center"/>
              <w:rPr>
                <w:b/>
                <w:sz w:val="24"/>
              </w:rPr>
            </w:pPr>
            <w:r>
              <w:rPr>
                <w:rFonts w:hint="eastAsia"/>
                <w:b/>
                <w:sz w:val="24"/>
              </w:rPr>
              <w:t>小计（人民币元）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0" w:type="dxa"/>
            <w:vAlign w:val="center"/>
          </w:tcPr>
          <w:p>
            <w:pPr>
              <w:spacing w:line="440" w:lineRule="exact"/>
              <w:jc w:val="center"/>
              <w:rPr>
                <w:sz w:val="24"/>
              </w:rPr>
            </w:pPr>
          </w:p>
        </w:tc>
        <w:tc>
          <w:tcPr>
            <w:tcW w:w="994" w:type="dxa"/>
            <w:vAlign w:val="center"/>
          </w:tcPr>
          <w:p>
            <w:pPr>
              <w:spacing w:line="440" w:lineRule="exact"/>
              <w:jc w:val="center"/>
              <w:rPr>
                <w:sz w:val="24"/>
              </w:rPr>
            </w:pPr>
          </w:p>
        </w:tc>
        <w:tc>
          <w:tcPr>
            <w:tcW w:w="992" w:type="dxa"/>
            <w:vAlign w:val="center"/>
          </w:tcPr>
          <w:p>
            <w:pPr>
              <w:spacing w:line="440" w:lineRule="exact"/>
              <w:jc w:val="center"/>
              <w:rPr>
                <w:sz w:val="24"/>
              </w:rPr>
            </w:pPr>
          </w:p>
        </w:tc>
        <w:tc>
          <w:tcPr>
            <w:tcW w:w="852" w:type="dxa"/>
            <w:vAlign w:val="center"/>
          </w:tcPr>
          <w:p>
            <w:pPr>
              <w:spacing w:line="440" w:lineRule="exact"/>
              <w:jc w:val="center"/>
              <w:rPr>
                <w:sz w:val="24"/>
              </w:rPr>
            </w:pPr>
          </w:p>
        </w:tc>
        <w:tc>
          <w:tcPr>
            <w:tcW w:w="1560" w:type="dxa"/>
            <w:vAlign w:val="center"/>
          </w:tcPr>
          <w:p>
            <w:pPr>
              <w:spacing w:line="440" w:lineRule="exact"/>
              <w:jc w:val="center"/>
              <w:rPr>
                <w:sz w:val="24"/>
              </w:rPr>
            </w:pPr>
          </w:p>
        </w:tc>
        <w:tc>
          <w:tcPr>
            <w:tcW w:w="1133" w:type="dxa"/>
            <w:vAlign w:val="center"/>
          </w:tcPr>
          <w:p>
            <w:pPr>
              <w:spacing w:line="440" w:lineRule="exact"/>
              <w:jc w:val="center"/>
              <w:rPr>
                <w:sz w:val="24"/>
              </w:rPr>
            </w:pPr>
          </w:p>
        </w:tc>
        <w:tc>
          <w:tcPr>
            <w:tcW w:w="1275" w:type="dxa"/>
            <w:vAlign w:val="center"/>
          </w:tcPr>
          <w:p>
            <w:pPr>
              <w:spacing w:line="440" w:lineRule="exact"/>
              <w:jc w:val="center"/>
              <w:rPr>
                <w:sz w:val="24"/>
              </w:rPr>
            </w:pPr>
          </w:p>
        </w:tc>
        <w:tc>
          <w:tcPr>
            <w:tcW w:w="1526" w:type="dxa"/>
            <w:vAlign w:val="center"/>
          </w:tcPr>
          <w:p>
            <w:pPr>
              <w:spacing w:line="4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0" w:type="dxa"/>
            <w:vAlign w:val="center"/>
          </w:tcPr>
          <w:p>
            <w:pPr>
              <w:spacing w:line="440" w:lineRule="exact"/>
              <w:jc w:val="center"/>
              <w:rPr>
                <w:sz w:val="24"/>
              </w:rPr>
            </w:pPr>
          </w:p>
        </w:tc>
        <w:tc>
          <w:tcPr>
            <w:tcW w:w="994" w:type="dxa"/>
            <w:vAlign w:val="center"/>
          </w:tcPr>
          <w:p>
            <w:pPr>
              <w:spacing w:line="440" w:lineRule="exact"/>
              <w:jc w:val="center"/>
              <w:rPr>
                <w:sz w:val="24"/>
              </w:rPr>
            </w:pPr>
          </w:p>
        </w:tc>
        <w:tc>
          <w:tcPr>
            <w:tcW w:w="992" w:type="dxa"/>
            <w:vAlign w:val="center"/>
          </w:tcPr>
          <w:p>
            <w:pPr>
              <w:spacing w:line="440" w:lineRule="exact"/>
              <w:jc w:val="center"/>
              <w:rPr>
                <w:sz w:val="24"/>
              </w:rPr>
            </w:pPr>
          </w:p>
        </w:tc>
        <w:tc>
          <w:tcPr>
            <w:tcW w:w="852" w:type="dxa"/>
            <w:vAlign w:val="center"/>
          </w:tcPr>
          <w:p>
            <w:pPr>
              <w:spacing w:line="440" w:lineRule="exact"/>
              <w:jc w:val="center"/>
              <w:rPr>
                <w:sz w:val="24"/>
              </w:rPr>
            </w:pPr>
          </w:p>
        </w:tc>
        <w:tc>
          <w:tcPr>
            <w:tcW w:w="1560" w:type="dxa"/>
            <w:vAlign w:val="center"/>
          </w:tcPr>
          <w:p>
            <w:pPr>
              <w:spacing w:line="440" w:lineRule="exact"/>
              <w:jc w:val="center"/>
              <w:rPr>
                <w:sz w:val="24"/>
              </w:rPr>
            </w:pPr>
          </w:p>
        </w:tc>
        <w:tc>
          <w:tcPr>
            <w:tcW w:w="1133" w:type="dxa"/>
            <w:vAlign w:val="center"/>
          </w:tcPr>
          <w:p>
            <w:pPr>
              <w:spacing w:line="440" w:lineRule="exact"/>
              <w:jc w:val="center"/>
              <w:rPr>
                <w:sz w:val="24"/>
              </w:rPr>
            </w:pPr>
          </w:p>
        </w:tc>
        <w:tc>
          <w:tcPr>
            <w:tcW w:w="1275" w:type="dxa"/>
            <w:vAlign w:val="center"/>
          </w:tcPr>
          <w:p>
            <w:pPr>
              <w:spacing w:line="440" w:lineRule="exact"/>
              <w:jc w:val="center"/>
              <w:rPr>
                <w:sz w:val="24"/>
              </w:rPr>
            </w:pPr>
          </w:p>
        </w:tc>
        <w:tc>
          <w:tcPr>
            <w:tcW w:w="1526" w:type="dxa"/>
            <w:vAlign w:val="center"/>
          </w:tcPr>
          <w:p>
            <w:pPr>
              <w:spacing w:line="4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0" w:type="dxa"/>
            <w:vAlign w:val="center"/>
          </w:tcPr>
          <w:p>
            <w:pPr>
              <w:spacing w:line="440" w:lineRule="exact"/>
              <w:jc w:val="center"/>
              <w:rPr>
                <w:sz w:val="24"/>
              </w:rPr>
            </w:pPr>
          </w:p>
        </w:tc>
        <w:tc>
          <w:tcPr>
            <w:tcW w:w="994" w:type="dxa"/>
            <w:vAlign w:val="center"/>
          </w:tcPr>
          <w:p>
            <w:pPr>
              <w:spacing w:line="440" w:lineRule="exact"/>
              <w:jc w:val="center"/>
              <w:rPr>
                <w:sz w:val="24"/>
              </w:rPr>
            </w:pPr>
          </w:p>
        </w:tc>
        <w:tc>
          <w:tcPr>
            <w:tcW w:w="992" w:type="dxa"/>
            <w:vAlign w:val="center"/>
          </w:tcPr>
          <w:p>
            <w:pPr>
              <w:spacing w:line="440" w:lineRule="exact"/>
              <w:jc w:val="center"/>
              <w:rPr>
                <w:sz w:val="24"/>
              </w:rPr>
            </w:pPr>
          </w:p>
        </w:tc>
        <w:tc>
          <w:tcPr>
            <w:tcW w:w="852" w:type="dxa"/>
            <w:vAlign w:val="center"/>
          </w:tcPr>
          <w:p>
            <w:pPr>
              <w:spacing w:line="440" w:lineRule="exact"/>
              <w:jc w:val="center"/>
              <w:rPr>
                <w:sz w:val="24"/>
              </w:rPr>
            </w:pPr>
          </w:p>
        </w:tc>
        <w:tc>
          <w:tcPr>
            <w:tcW w:w="1560" w:type="dxa"/>
            <w:vAlign w:val="center"/>
          </w:tcPr>
          <w:p>
            <w:pPr>
              <w:spacing w:line="440" w:lineRule="exact"/>
              <w:jc w:val="center"/>
              <w:rPr>
                <w:sz w:val="24"/>
              </w:rPr>
            </w:pPr>
          </w:p>
        </w:tc>
        <w:tc>
          <w:tcPr>
            <w:tcW w:w="1133" w:type="dxa"/>
            <w:vAlign w:val="center"/>
          </w:tcPr>
          <w:p>
            <w:pPr>
              <w:spacing w:line="440" w:lineRule="exact"/>
              <w:jc w:val="center"/>
              <w:rPr>
                <w:sz w:val="24"/>
              </w:rPr>
            </w:pPr>
          </w:p>
        </w:tc>
        <w:tc>
          <w:tcPr>
            <w:tcW w:w="1275" w:type="dxa"/>
            <w:vAlign w:val="center"/>
          </w:tcPr>
          <w:p>
            <w:pPr>
              <w:spacing w:line="440" w:lineRule="exact"/>
              <w:jc w:val="center"/>
              <w:rPr>
                <w:sz w:val="24"/>
              </w:rPr>
            </w:pPr>
          </w:p>
        </w:tc>
        <w:tc>
          <w:tcPr>
            <w:tcW w:w="1526" w:type="dxa"/>
            <w:vAlign w:val="center"/>
          </w:tcPr>
          <w:p>
            <w:pPr>
              <w:spacing w:line="4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6" w:type="dxa"/>
            <w:gridSpan w:val="7"/>
            <w:vAlign w:val="center"/>
          </w:tcPr>
          <w:p>
            <w:pPr>
              <w:spacing w:line="440" w:lineRule="exact"/>
              <w:jc w:val="center"/>
              <w:rPr>
                <w:b/>
                <w:sz w:val="24"/>
              </w:rPr>
            </w:pPr>
            <w:r>
              <w:rPr>
                <w:rFonts w:hint="eastAsia"/>
                <w:b/>
                <w:sz w:val="24"/>
              </w:rPr>
              <w:t>合同总金额合计</w:t>
            </w:r>
          </w:p>
        </w:tc>
        <w:tc>
          <w:tcPr>
            <w:tcW w:w="1526" w:type="dxa"/>
            <w:vAlign w:val="center"/>
          </w:tcPr>
          <w:p>
            <w:pPr>
              <w:spacing w:line="440" w:lineRule="exact"/>
              <w:jc w:val="center"/>
              <w:rPr>
                <w:sz w:val="24"/>
              </w:rPr>
            </w:pPr>
          </w:p>
        </w:tc>
      </w:tr>
    </w:tbl>
    <w:p>
      <w:pPr>
        <w:pStyle w:val="13"/>
        <w:tabs>
          <w:tab w:val="left" w:pos="5150"/>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2.除以上第1点外，本合同所涉及的乙方应提供的货物及相关服务内容同时按甲方招标文件《需求一览表》要求及乙方投标（报价）文件承诺执行。</w:t>
      </w:r>
    </w:p>
    <w:p>
      <w:pPr>
        <w:pStyle w:val="13"/>
        <w:spacing w:line="560" w:lineRule="exact"/>
        <w:ind w:firstLine="640" w:firstLineChars="200"/>
        <w:rPr>
          <w:rFonts w:hint="eastAsia" w:ascii="黑体" w:hAnsi="黑体" w:eastAsia="黑体"/>
          <w:bCs/>
          <w:sz w:val="32"/>
          <w:szCs w:val="32"/>
        </w:rPr>
      </w:pPr>
      <w:r>
        <w:rPr>
          <w:rFonts w:ascii="黑体" w:hAnsi="黑体" w:eastAsia="黑体"/>
          <w:bCs/>
          <w:sz w:val="32"/>
          <w:szCs w:val="32"/>
        </w:rPr>
        <w:t>四、合同金额及产品标准</w:t>
      </w:r>
    </w:p>
    <w:p>
      <w:pPr>
        <w:pStyle w:val="13"/>
        <w:spacing w:line="560" w:lineRule="exact"/>
        <w:ind w:firstLine="640" w:firstLineChars="200"/>
        <w:rPr>
          <w:rFonts w:ascii="Times New Roman" w:hAnsi="Times New Roman" w:eastAsia="仿宋_GB2312"/>
          <w:sz w:val="32"/>
          <w:szCs w:val="32"/>
        </w:rPr>
      </w:pPr>
      <w:r>
        <w:rPr>
          <w:rFonts w:hint="eastAsia" w:ascii="仿宋_GB2312" w:hAnsi="Times New Roman" w:eastAsia="仿宋_GB2312"/>
          <w:sz w:val="32"/>
          <w:szCs w:val="32"/>
        </w:rPr>
        <w:t>（一）根据中选通知书的中选内容，本合同的总金额为（大写）</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元（小写：￥</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）。该</w:t>
      </w:r>
      <w:r>
        <w:rPr>
          <w:rFonts w:ascii="Times New Roman" w:hAnsi="Times New Roman" w:eastAsia="仿宋_GB2312"/>
          <w:sz w:val="32"/>
          <w:szCs w:val="32"/>
        </w:rPr>
        <w:t>合同总金额为固定不变价，包含但不限于：成本及利润、税金、包装费、运输费、保险费、仓储费、损耗费，及后续的开箱检验、保修和维修、技术服务、软件实施费、安装调试费、售后服务费、培训、人工等费用。双方确认，除本合同总金额外，甲方无须就本合同项下货物或乙方提供的服务向乙方支付任何额外费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（二）上述货物适用下列第</w:t>
      </w:r>
      <w:r>
        <w:rPr>
          <w:rFonts w:hint="eastAsia" w:ascii="仿宋_GB2312" w:eastAsia="仿宋_GB2312"/>
          <w:sz w:val="32"/>
          <w:szCs w:val="32"/>
          <w:u w:val="single"/>
        </w:rPr>
        <w:t xml:space="preserve"> 1 </w:t>
      </w:r>
      <w:r>
        <w:rPr>
          <w:rFonts w:hint="eastAsia" w:ascii="仿宋_GB2312" w:eastAsia="仿宋_GB2312"/>
          <w:sz w:val="32"/>
          <w:szCs w:val="32"/>
        </w:rPr>
        <w:t>项中技术和质量标准：</w:t>
      </w:r>
    </w:p>
    <w:p>
      <w:pPr>
        <w:spacing w:line="560" w:lineRule="exact"/>
        <w:ind w:firstLine="640" w:firstLineChars="200"/>
        <w:rPr>
          <w:rFonts w:eastAsia="仿宋_GB2312"/>
          <w:sz w:val="32"/>
          <w:szCs w:val="32"/>
        </w:rPr>
      </w:pPr>
      <w:r>
        <w:rPr>
          <w:rFonts w:eastAsia="仿宋_GB2312"/>
          <w:sz w:val="32"/>
          <w:szCs w:val="32"/>
        </w:rPr>
        <w:t>1.按同类产品国家标准及采购文件、报价文件确认的标准；</w:t>
      </w:r>
    </w:p>
    <w:p>
      <w:pPr>
        <w:spacing w:line="560" w:lineRule="exact"/>
        <w:ind w:firstLine="640" w:firstLineChars="200"/>
        <w:rPr>
          <w:rFonts w:eastAsia="仿宋_GB2312"/>
          <w:sz w:val="32"/>
          <w:szCs w:val="32"/>
        </w:rPr>
      </w:pPr>
      <w:r>
        <w:rPr>
          <w:rFonts w:eastAsia="仿宋_GB2312"/>
          <w:sz w:val="32"/>
          <w:szCs w:val="32"/>
        </w:rPr>
        <w:t>2.按同类产品部颁标准；</w:t>
      </w:r>
    </w:p>
    <w:p>
      <w:pPr>
        <w:spacing w:line="560" w:lineRule="exact"/>
        <w:ind w:firstLine="640" w:firstLineChars="200"/>
        <w:rPr>
          <w:rFonts w:eastAsia="仿宋_GB2312"/>
          <w:sz w:val="32"/>
          <w:szCs w:val="32"/>
        </w:rPr>
      </w:pPr>
      <w:r>
        <w:rPr>
          <w:rFonts w:eastAsia="仿宋_GB2312"/>
          <w:sz w:val="32"/>
          <w:szCs w:val="32"/>
        </w:rPr>
        <w:t>3.按同类产品行业标准；</w:t>
      </w:r>
    </w:p>
    <w:p>
      <w:pPr>
        <w:spacing w:line="560" w:lineRule="exact"/>
        <w:ind w:firstLine="640" w:firstLineChars="200"/>
        <w:rPr>
          <w:rFonts w:eastAsia="仿宋_GB2312"/>
          <w:sz w:val="32"/>
          <w:szCs w:val="32"/>
        </w:rPr>
      </w:pPr>
      <w:r>
        <w:rPr>
          <w:rFonts w:eastAsia="仿宋_GB2312"/>
          <w:sz w:val="32"/>
          <w:szCs w:val="32"/>
        </w:rPr>
        <w:t>4.没有上述标准或虽有上述标准，但双方同意按附件所约定标准执行；</w:t>
      </w:r>
    </w:p>
    <w:p>
      <w:pPr>
        <w:spacing w:line="560" w:lineRule="exact"/>
        <w:ind w:firstLine="640" w:firstLineChars="200"/>
        <w:rPr>
          <w:rFonts w:eastAsia="仿宋_GB2312"/>
          <w:sz w:val="32"/>
          <w:szCs w:val="32"/>
        </w:rPr>
      </w:pPr>
      <w:r>
        <w:rPr>
          <w:rFonts w:eastAsia="仿宋_GB2312"/>
          <w:sz w:val="32"/>
          <w:szCs w:val="32"/>
        </w:rPr>
        <w:t>5.按双方签订本合同前确认的样品（由双方确认后封存）标准执行。</w:t>
      </w:r>
    </w:p>
    <w:p>
      <w:pPr>
        <w:spacing w:line="560" w:lineRule="exact"/>
        <w:ind w:firstLine="640" w:firstLineChars="200"/>
        <w:rPr>
          <w:rFonts w:eastAsia="仿宋_GB2312"/>
          <w:sz w:val="32"/>
          <w:szCs w:val="32"/>
        </w:rPr>
      </w:pPr>
      <w:r>
        <w:rPr>
          <w:rFonts w:eastAsia="仿宋_GB2312"/>
          <w:sz w:val="32"/>
          <w:szCs w:val="32"/>
        </w:rPr>
        <w:t>（三）乙方应按合同约定的名称、品牌、数量、规格型号、技术要求、质量标准向甲方提供合法销售的全新的未经使用的原厂合格产品，该批产品的质量标准和样式应和招标文件要求一致；且必须符合国家质量检测标准，具有产品出厂标准或国家鉴定证书。</w:t>
      </w:r>
    </w:p>
    <w:p>
      <w:pPr>
        <w:spacing w:line="560" w:lineRule="exact"/>
        <w:ind w:firstLine="640" w:firstLineChars="200"/>
        <w:rPr>
          <w:rFonts w:hint="eastAsia" w:ascii="黑体" w:hAnsi="黑体" w:eastAsia="黑体"/>
          <w:bCs/>
          <w:sz w:val="32"/>
          <w:szCs w:val="32"/>
        </w:rPr>
      </w:pPr>
      <w:r>
        <w:rPr>
          <w:rFonts w:ascii="黑体" w:hAnsi="黑体" w:eastAsia="黑体"/>
          <w:bCs/>
          <w:sz w:val="32"/>
          <w:szCs w:val="32"/>
        </w:rPr>
        <w:t>五、结算、支付条款</w:t>
      </w:r>
    </w:p>
    <w:p>
      <w:pPr>
        <w:spacing w:line="560" w:lineRule="exact"/>
        <w:ind w:firstLine="640" w:firstLineChars="200"/>
        <w:rPr>
          <w:rFonts w:eastAsia="仿宋_GB2312"/>
          <w:sz w:val="32"/>
          <w:szCs w:val="32"/>
        </w:rPr>
      </w:pPr>
      <w:r>
        <w:rPr>
          <w:rFonts w:eastAsia="仿宋_GB2312"/>
          <w:sz w:val="32"/>
          <w:szCs w:val="32"/>
        </w:rPr>
        <w:t>（一）甲方采用转账方式，并按以下约定安排付款：</w:t>
      </w:r>
    </w:p>
    <w:p>
      <w:pPr>
        <w:spacing w:line="560" w:lineRule="exact"/>
        <w:ind w:firstLine="640" w:firstLineChars="200"/>
        <w:rPr>
          <w:rFonts w:eastAsia="仿宋_GB2312"/>
          <w:sz w:val="32"/>
          <w:szCs w:val="32"/>
        </w:rPr>
      </w:pPr>
      <w:r>
        <w:rPr>
          <w:rFonts w:eastAsia="仿宋_GB2312"/>
          <w:sz w:val="32"/>
          <w:szCs w:val="32"/>
        </w:rPr>
        <w:t>1.合同生效后</w:t>
      </w:r>
      <w:r>
        <w:rPr>
          <w:rFonts w:eastAsia="仿宋_GB2312"/>
          <w:sz w:val="32"/>
          <w:szCs w:val="32"/>
          <w:u w:val="single"/>
        </w:rPr>
        <w:t xml:space="preserve"> 5 </w:t>
      </w:r>
      <w:r>
        <w:rPr>
          <w:rFonts w:eastAsia="仿宋_GB2312"/>
          <w:sz w:val="32"/>
          <w:szCs w:val="32"/>
        </w:rPr>
        <w:t>日内，甲方支付合同总额的</w:t>
      </w:r>
      <w:r>
        <w:rPr>
          <w:rFonts w:eastAsia="仿宋_GB2312"/>
          <w:sz w:val="32"/>
          <w:szCs w:val="32"/>
          <w:u w:val="single"/>
        </w:rPr>
        <w:t xml:space="preserve">  30  </w:t>
      </w:r>
      <w:r>
        <w:rPr>
          <w:rFonts w:eastAsia="仿宋_GB2312"/>
          <w:sz w:val="32"/>
          <w:szCs w:val="32"/>
        </w:rPr>
        <w:t>%作为预付款，即人民币</w:t>
      </w:r>
      <w:r>
        <w:rPr>
          <w:rFonts w:eastAsia="仿宋_GB2312"/>
          <w:sz w:val="32"/>
          <w:szCs w:val="32"/>
          <w:u w:val="single"/>
        </w:rPr>
        <w:t xml:space="preserve">     </w:t>
      </w:r>
      <w:r>
        <w:rPr>
          <w:rFonts w:eastAsia="仿宋_GB2312"/>
          <w:sz w:val="32"/>
          <w:szCs w:val="32"/>
        </w:rPr>
        <w:t>元。</w:t>
      </w:r>
    </w:p>
    <w:p>
      <w:pPr>
        <w:spacing w:line="560" w:lineRule="exact"/>
        <w:ind w:firstLine="640" w:firstLineChars="200"/>
        <w:rPr>
          <w:rFonts w:eastAsia="仿宋_GB2312"/>
          <w:sz w:val="32"/>
          <w:szCs w:val="32"/>
        </w:rPr>
      </w:pPr>
      <w:r>
        <w:rPr>
          <w:rFonts w:eastAsia="仿宋_GB2312"/>
          <w:sz w:val="32"/>
          <w:szCs w:val="32"/>
        </w:rPr>
        <w:t>2.乙方在设备生产完毕出货前并开具税率为13%的全额增值税专用发票给甲方后，甲方支付合同总额的</w:t>
      </w:r>
      <w:r>
        <w:rPr>
          <w:rFonts w:eastAsia="仿宋_GB2312"/>
          <w:sz w:val="32"/>
          <w:szCs w:val="32"/>
          <w:u w:val="single"/>
        </w:rPr>
        <w:t xml:space="preserve">  50  </w:t>
      </w:r>
      <w:r>
        <w:rPr>
          <w:rFonts w:eastAsia="仿宋_GB2312"/>
          <w:sz w:val="32"/>
          <w:szCs w:val="32"/>
        </w:rPr>
        <w:t>%为提货款，即人民币</w:t>
      </w:r>
      <w:r>
        <w:rPr>
          <w:rFonts w:eastAsia="仿宋_GB2312"/>
          <w:sz w:val="32"/>
          <w:szCs w:val="32"/>
          <w:u w:val="single"/>
        </w:rPr>
        <w:t xml:space="preserve">      </w:t>
      </w:r>
      <w:r>
        <w:rPr>
          <w:rFonts w:eastAsia="仿宋_GB2312"/>
          <w:sz w:val="32"/>
          <w:szCs w:val="32"/>
        </w:rPr>
        <w:t>元。</w:t>
      </w:r>
    </w:p>
    <w:p>
      <w:pPr>
        <w:spacing w:line="560" w:lineRule="exact"/>
        <w:ind w:firstLine="640" w:firstLineChars="200"/>
        <w:rPr>
          <w:rFonts w:eastAsia="仿宋_GB2312"/>
          <w:sz w:val="32"/>
          <w:szCs w:val="32"/>
        </w:rPr>
      </w:pPr>
      <w:r>
        <w:rPr>
          <w:rFonts w:eastAsia="仿宋_GB2312"/>
          <w:sz w:val="32"/>
          <w:szCs w:val="32"/>
        </w:rPr>
        <w:t>3.设备到甲方厂内完成安装调试，经甲方验收合格后</w:t>
      </w:r>
      <w:r>
        <w:rPr>
          <w:rFonts w:eastAsia="仿宋_GB2312"/>
          <w:sz w:val="32"/>
          <w:szCs w:val="32"/>
          <w:u w:val="single"/>
        </w:rPr>
        <w:t xml:space="preserve">30 </w:t>
      </w:r>
      <w:r>
        <w:rPr>
          <w:rFonts w:eastAsia="仿宋_GB2312"/>
          <w:sz w:val="32"/>
          <w:szCs w:val="32"/>
        </w:rPr>
        <w:t>日内，支付合同总额的</w:t>
      </w:r>
      <w:r>
        <w:rPr>
          <w:rFonts w:eastAsia="仿宋_GB2312"/>
          <w:sz w:val="32"/>
          <w:szCs w:val="32"/>
          <w:u w:val="single"/>
        </w:rPr>
        <w:t xml:space="preserve"> 15%</w:t>
      </w:r>
      <w:r>
        <w:rPr>
          <w:rFonts w:hint="eastAsia" w:eastAsia="仿宋_GB2312"/>
          <w:sz w:val="32"/>
          <w:szCs w:val="32"/>
          <w:u w:val="single"/>
        </w:rPr>
        <w:t xml:space="preserve"> </w:t>
      </w:r>
      <w:r>
        <w:rPr>
          <w:rFonts w:eastAsia="仿宋_GB2312"/>
          <w:sz w:val="32"/>
          <w:szCs w:val="32"/>
        </w:rPr>
        <w:t>为验收款，即人民币</w:t>
      </w:r>
      <w:r>
        <w:rPr>
          <w:rFonts w:eastAsia="仿宋_GB2312"/>
          <w:sz w:val="32"/>
          <w:szCs w:val="32"/>
          <w:u w:val="single"/>
        </w:rPr>
        <w:t xml:space="preserve">     </w:t>
      </w:r>
      <w:r>
        <w:rPr>
          <w:rFonts w:eastAsia="仿宋_GB2312"/>
          <w:sz w:val="32"/>
          <w:szCs w:val="32"/>
        </w:rPr>
        <w:t>元。</w:t>
      </w:r>
    </w:p>
    <w:p>
      <w:pPr>
        <w:spacing w:line="560" w:lineRule="exact"/>
        <w:ind w:firstLine="640" w:firstLineChars="200"/>
        <w:rPr>
          <w:rFonts w:eastAsia="仿宋_GB2312"/>
          <w:sz w:val="32"/>
          <w:szCs w:val="32"/>
        </w:rPr>
      </w:pPr>
      <w:r>
        <w:rPr>
          <w:rFonts w:eastAsia="仿宋_GB2312"/>
          <w:sz w:val="32"/>
          <w:szCs w:val="32"/>
        </w:rPr>
        <w:t>4.剩余5%作为质保金，质保期12个月，从验收合格日起计，质保到期后10天内全额无息支付给乙方。</w:t>
      </w:r>
    </w:p>
    <w:p>
      <w:pPr>
        <w:spacing w:line="560" w:lineRule="exact"/>
        <w:ind w:firstLine="640" w:firstLineChars="200"/>
        <w:rPr>
          <w:rFonts w:eastAsia="仿宋_GB2312"/>
          <w:sz w:val="32"/>
          <w:szCs w:val="32"/>
        </w:rPr>
      </w:pPr>
      <w:r>
        <w:rPr>
          <w:rFonts w:eastAsia="仿宋_GB2312"/>
          <w:sz w:val="32"/>
          <w:szCs w:val="32"/>
        </w:rPr>
        <w:t>（二）乙方应按照甲方的要求向甲方开具真实、合法、有效的增值税专用正式发票，否则甲方可拒绝付款且无须承担任何违约责任。如乙方向甲方提供的发票系虚假、伪造、变造的，乙方除须向甲方补开合法发票外，还须按应开发票票面金额的30%向甲方支付违约金，且须赔偿甲方所受损失（包括但不限于甲方所受的行政罚款、补开发票产生的税款、鉴定费等），同时甲方有权终止合同，因终止合同而产生的一切损失均由乙方承担。</w:t>
      </w:r>
    </w:p>
    <w:p>
      <w:pPr>
        <w:spacing w:line="560" w:lineRule="exact"/>
        <w:ind w:firstLine="640" w:firstLineChars="200"/>
        <w:rPr>
          <w:rFonts w:eastAsia="仿宋_GB2312"/>
          <w:sz w:val="32"/>
          <w:szCs w:val="32"/>
        </w:rPr>
      </w:pPr>
      <w:r>
        <w:rPr>
          <w:rFonts w:eastAsia="仿宋_GB2312"/>
          <w:sz w:val="32"/>
          <w:szCs w:val="32"/>
        </w:rPr>
        <w:t>（三）乙方指定的收款账户信息如下：</w:t>
      </w:r>
    </w:p>
    <w:p>
      <w:pPr>
        <w:spacing w:line="560" w:lineRule="exact"/>
        <w:ind w:firstLine="640" w:firstLineChars="200"/>
        <w:rPr>
          <w:rFonts w:eastAsia="仿宋_GB2312"/>
          <w:sz w:val="32"/>
          <w:szCs w:val="32"/>
        </w:rPr>
      </w:pPr>
      <w:r>
        <w:rPr>
          <w:rFonts w:eastAsia="仿宋_GB2312"/>
          <w:sz w:val="32"/>
          <w:szCs w:val="32"/>
        </w:rPr>
        <w:t>开户行：</w:t>
      </w:r>
    </w:p>
    <w:p>
      <w:pPr>
        <w:spacing w:line="560" w:lineRule="exact"/>
        <w:ind w:firstLine="640" w:firstLineChars="200"/>
        <w:rPr>
          <w:rFonts w:eastAsia="仿宋_GB2312"/>
          <w:sz w:val="32"/>
          <w:szCs w:val="32"/>
        </w:rPr>
      </w:pPr>
      <w:r>
        <w:rPr>
          <w:rFonts w:eastAsia="仿宋_GB2312"/>
          <w:sz w:val="32"/>
          <w:szCs w:val="32"/>
        </w:rPr>
        <w:t>账户名称：</w:t>
      </w:r>
    </w:p>
    <w:p>
      <w:pPr>
        <w:spacing w:line="560" w:lineRule="exact"/>
        <w:ind w:firstLine="640" w:firstLineChars="200"/>
        <w:rPr>
          <w:rFonts w:eastAsia="仿宋_GB2312"/>
          <w:sz w:val="32"/>
          <w:szCs w:val="32"/>
        </w:rPr>
      </w:pPr>
      <w:r>
        <w:rPr>
          <w:rFonts w:eastAsia="仿宋_GB2312"/>
          <w:sz w:val="32"/>
          <w:szCs w:val="32"/>
        </w:rPr>
        <w:t>账号：</w:t>
      </w:r>
    </w:p>
    <w:p>
      <w:pPr>
        <w:spacing w:line="560" w:lineRule="exact"/>
        <w:ind w:firstLine="640" w:firstLineChars="200"/>
        <w:rPr>
          <w:rFonts w:eastAsia="仿宋_GB2312"/>
          <w:sz w:val="32"/>
          <w:szCs w:val="32"/>
        </w:rPr>
      </w:pPr>
      <w:r>
        <w:rPr>
          <w:rFonts w:eastAsia="仿宋_GB2312"/>
          <w:sz w:val="32"/>
          <w:szCs w:val="32"/>
        </w:rPr>
        <w:t>如乙方需改变上述账户，乙方应提前十日书面通知甲方，否则应承担对已不利的后果，如造成甲方损失的，还应当予以赔偿。</w:t>
      </w:r>
    </w:p>
    <w:p>
      <w:pPr>
        <w:spacing w:line="560" w:lineRule="exact"/>
        <w:ind w:firstLine="640" w:firstLineChars="200"/>
        <w:rPr>
          <w:rFonts w:hint="eastAsia" w:ascii="黑体" w:hAnsi="黑体" w:eastAsia="黑体"/>
          <w:bCs/>
          <w:sz w:val="32"/>
          <w:szCs w:val="32"/>
        </w:rPr>
      </w:pPr>
      <w:r>
        <w:rPr>
          <w:rFonts w:ascii="黑体" w:hAnsi="黑体" w:eastAsia="黑体"/>
          <w:bCs/>
          <w:sz w:val="32"/>
          <w:szCs w:val="32"/>
        </w:rPr>
        <w:t>六、运输与包装</w:t>
      </w:r>
    </w:p>
    <w:p>
      <w:pPr>
        <w:spacing w:line="560" w:lineRule="exact"/>
        <w:ind w:firstLine="640" w:firstLineChars="200"/>
        <w:rPr>
          <w:rFonts w:eastAsia="仿宋_GB2312"/>
          <w:sz w:val="32"/>
          <w:szCs w:val="32"/>
        </w:rPr>
      </w:pPr>
      <w:r>
        <w:rPr>
          <w:rFonts w:eastAsia="仿宋_GB2312"/>
          <w:sz w:val="32"/>
          <w:szCs w:val="32"/>
        </w:rPr>
        <w:t>（一）将货物运送至甲方指定交货地点并交付给甲方指定收货人之前的货物运输由乙方负责，相关的运输费用、保险、保管、货物灭失及毁损的风险亦由乙方承担。</w:t>
      </w:r>
    </w:p>
    <w:p>
      <w:pPr>
        <w:spacing w:line="560" w:lineRule="exact"/>
        <w:ind w:firstLine="640" w:firstLineChars="200"/>
        <w:rPr>
          <w:rFonts w:eastAsia="仿宋_GB2312"/>
          <w:sz w:val="32"/>
          <w:szCs w:val="32"/>
        </w:rPr>
      </w:pPr>
      <w:r>
        <w:rPr>
          <w:rFonts w:eastAsia="仿宋_GB2312"/>
          <w:sz w:val="32"/>
          <w:szCs w:val="32"/>
        </w:rPr>
        <w:t>（二）乙方应根据货物特点进行坚固包装使其防水、防潮、防腐、防锈、防震等，并在正常情况下适于水运、空运和长途内陆运输及反复装卸和搬运的要求。专用、特殊安装工具材料和易磨损部件应进行适当的包装并采取特别保护措施。包装费用由乙方承担。乙方需在每一包装箱（物）表面显著位置以显著方式标明合同号、箱号、收货人、目的地、内件品名、尺寸规格、数量、重量等内容。并对每一包装箱内货物附以标签，标明其在安装图纸中的编号。另外乙方应根据货物的特点及其对装卸操作的要求在包装箱显著位置以英文或中文标明“保持干燥”，“小心轻放”，“此面向上”等国际惯用图示。</w:t>
      </w:r>
    </w:p>
    <w:p>
      <w:pPr>
        <w:spacing w:line="560" w:lineRule="exact"/>
        <w:ind w:firstLine="640" w:firstLineChars="200"/>
        <w:rPr>
          <w:rFonts w:eastAsia="仿宋_GB2312"/>
          <w:sz w:val="32"/>
          <w:szCs w:val="32"/>
        </w:rPr>
      </w:pPr>
      <w:r>
        <w:rPr>
          <w:rFonts w:eastAsia="仿宋_GB2312"/>
          <w:sz w:val="32"/>
          <w:szCs w:val="32"/>
        </w:rPr>
        <w:t>（三）对因运输和包装不当产生的货物灭失与损毁的责任，均由乙方承担。</w:t>
      </w:r>
    </w:p>
    <w:p>
      <w:pPr>
        <w:spacing w:line="560" w:lineRule="exact"/>
        <w:ind w:firstLine="640" w:firstLineChars="200"/>
        <w:rPr>
          <w:rFonts w:hint="eastAsia" w:ascii="黑体" w:hAnsi="黑体" w:eastAsia="黑体"/>
          <w:bCs/>
          <w:sz w:val="32"/>
          <w:szCs w:val="32"/>
        </w:rPr>
      </w:pPr>
      <w:r>
        <w:rPr>
          <w:rFonts w:ascii="黑体" w:hAnsi="黑体" w:eastAsia="黑体"/>
          <w:bCs/>
          <w:sz w:val="32"/>
          <w:szCs w:val="32"/>
        </w:rPr>
        <w:t>七、交货、开箱检验及安装调试验收</w:t>
      </w:r>
    </w:p>
    <w:p>
      <w:pPr>
        <w:spacing w:line="560" w:lineRule="exact"/>
        <w:ind w:firstLine="640" w:firstLineChars="200"/>
        <w:rPr>
          <w:rFonts w:eastAsia="仿宋_GB2312"/>
          <w:b/>
          <w:bCs/>
          <w:sz w:val="32"/>
          <w:szCs w:val="32"/>
        </w:rPr>
      </w:pPr>
      <w:r>
        <w:rPr>
          <w:rFonts w:eastAsia="仿宋_GB2312"/>
          <w:sz w:val="32"/>
          <w:szCs w:val="32"/>
        </w:rPr>
        <w:t>（一）交货时间和地点：乙方应在合同签订后</w:t>
      </w:r>
      <w:r>
        <w:rPr>
          <w:rFonts w:eastAsia="仿宋_GB2312"/>
          <w:sz w:val="32"/>
          <w:szCs w:val="32"/>
          <w:u w:val="single"/>
        </w:rPr>
        <w:t xml:space="preserve">     </w:t>
      </w:r>
      <w:r>
        <w:rPr>
          <w:rFonts w:eastAsia="仿宋_GB2312"/>
          <w:sz w:val="32"/>
          <w:szCs w:val="32"/>
        </w:rPr>
        <w:t>天内将货物送至甲方指定地点</w:t>
      </w:r>
      <w:r>
        <w:rPr>
          <w:rFonts w:eastAsia="仿宋_GB2312"/>
          <w:sz w:val="32"/>
          <w:szCs w:val="32"/>
          <w:u w:val="single"/>
        </w:rPr>
        <w:t>广西双钱健康产业股份有限公司（梧州市工业园区工业大道1号）</w:t>
      </w:r>
      <w:r>
        <w:rPr>
          <w:rFonts w:eastAsia="仿宋_GB2312"/>
          <w:sz w:val="32"/>
          <w:szCs w:val="32"/>
        </w:rPr>
        <w:t xml:space="preserve"> ，即本合同所涉货物的供货日期为</w:t>
      </w:r>
      <w:r>
        <w:rPr>
          <w:rFonts w:eastAsia="仿宋_GB2312"/>
          <w:sz w:val="32"/>
          <w:szCs w:val="32"/>
          <w:u w:val="single"/>
        </w:rPr>
        <w:t xml:space="preserve">           20  年   月   日前</w:t>
      </w:r>
      <w:r>
        <w:rPr>
          <w:rFonts w:eastAsia="仿宋_GB2312"/>
          <w:sz w:val="32"/>
          <w:szCs w:val="32"/>
        </w:rPr>
        <w:t xml:space="preserve">。                </w:t>
      </w:r>
    </w:p>
    <w:p>
      <w:pPr>
        <w:spacing w:line="560" w:lineRule="exact"/>
        <w:ind w:firstLine="640" w:firstLineChars="200"/>
        <w:rPr>
          <w:rFonts w:eastAsia="仿宋_GB2312"/>
          <w:sz w:val="32"/>
          <w:szCs w:val="32"/>
          <w:u w:val="single"/>
        </w:rPr>
      </w:pPr>
      <w:r>
        <w:rPr>
          <w:rFonts w:eastAsia="仿宋_GB2312"/>
          <w:sz w:val="32"/>
          <w:szCs w:val="32"/>
        </w:rPr>
        <w:t>（二）到货检验：乙方将货物运送至甲方指定交货地点后，乙方向甲方交付货物清单并通知甲方进行到货检验，与甲方指派代表共同对货物进行开箱检验，根据本合同约定对货物的包装外观、数量、型号、规格进行检查。以上内容检查与合同一致的，双方共同签订到货检验结果。到货检验结果合格仅视为货物在外观、数量、型号、规格符合合同的约定，到货检验结果的签署不使甲方丧失因质量问题而向乙方索赔和求偿的权利，同时不解除乙方对于货物质量缺陷或瑕疵负有的相应担保责任。</w:t>
      </w:r>
    </w:p>
    <w:p>
      <w:pPr>
        <w:spacing w:line="560" w:lineRule="exact"/>
        <w:ind w:firstLine="640" w:firstLineChars="200"/>
        <w:rPr>
          <w:rFonts w:eastAsia="仿宋_GB2312"/>
          <w:sz w:val="32"/>
          <w:szCs w:val="32"/>
        </w:rPr>
      </w:pPr>
      <w:r>
        <w:rPr>
          <w:rFonts w:eastAsia="仿宋_GB2312"/>
          <w:sz w:val="32"/>
          <w:szCs w:val="32"/>
        </w:rPr>
        <w:t>（三）安装调试验收：</w:t>
      </w:r>
    </w:p>
    <w:p>
      <w:pPr>
        <w:spacing w:line="560" w:lineRule="exact"/>
        <w:ind w:firstLine="640" w:firstLineChars="200"/>
        <w:rPr>
          <w:rFonts w:eastAsia="仿宋_GB2312"/>
          <w:sz w:val="32"/>
          <w:szCs w:val="32"/>
        </w:rPr>
      </w:pPr>
      <w:r>
        <w:rPr>
          <w:rFonts w:eastAsia="仿宋_GB2312"/>
          <w:sz w:val="32"/>
          <w:szCs w:val="32"/>
        </w:rPr>
        <w:t>1.安装调试时间：乙方应在到货检验后</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eastAsia="仿宋_GB2312"/>
          <w:sz w:val="32"/>
          <w:szCs w:val="32"/>
        </w:rPr>
        <w:t>天内完成设备的安装与调试工作，即本合同所涉设备的交付使用日期为</w:t>
      </w:r>
      <w:r>
        <w:rPr>
          <w:rFonts w:hint="eastAsia" w:eastAsia="仿宋_GB2312"/>
          <w:sz w:val="32"/>
          <w:szCs w:val="32"/>
        </w:rPr>
        <w:t xml:space="preserve"> </w:t>
      </w:r>
      <w:r>
        <w:rPr>
          <w:rFonts w:eastAsia="仿宋_GB2312"/>
          <w:sz w:val="32"/>
          <w:szCs w:val="32"/>
          <w:u w:val="single"/>
        </w:rPr>
        <w:t xml:space="preserve"> 20</w:t>
      </w:r>
      <w:r>
        <w:rPr>
          <w:rFonts w:hint="eastAsia" w:eastAsia="仿宋_GB2312"/>
          <w:sz w:val="32"/>
          <w:szCs w:val="32"/>
          <w:u w:val="single"/>
        </w:rPr>
        <w:t xml:space="preserve">   </w:t>
      </w:r>
      <w:r>
        <w:rPr>
          <w:rFonts w:eastAsia="仿宋_GB2312"/>
          <w:sz w:val="32"/>
          <w:szCs w:val="32"/>
          <w:u w:val="single"/>
        </w:rPr>
        <w:t>年   月   日前</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2.甲方应在货物验收前</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eastAsia="仿宋_GB2312"/>
          <w:sz w:val="32"/>
          <w:szCs w:val="32"/>
        </w:rPr>
        <w:t>天通知乙方验收时间。乙方应派其人员到甲方指定地点参加货物验收，费用自理。乙方在上述日期内拒绝或未参加验收的，甲方有权单独进行验收，对验收结果，视为乙方自动接受。买卖双方也可协商在交货现场即进行货物验收。</w:t>
      </w:r>
    </w:p>
    <w:p>
      <w:pPr>
        <w:spacing w:line="560" w:lineRule="exact"/>
        <w:ind w:firstLine="640" w:firstLineChars="200"/>
        <w:rPr>
          <w:rFonts w:eastAsia="仿宋_GB2312"/>
          <w:sz w:val="32"/>
          <w:szCs w:val="32"/>
        </w:rPr>
      </w:pPr>
      <w:r>
        <w:rPr>
          <w:rFonts w:eastAsia="仿宋_GB2312"/>
          <w:sz w:val="32"/>
          <w:szCs w:val="32"/>
        </w:rPr>
        <w:t>3.双方应共同签署检验报告，该报告应详细列明检验结果，包括检验合格或发现的任何货物短缺、毁损或与合同规定有不符之处。对检验中发现货物短缺、毁损或与合同规定有不符之处的，即为检验不合格。甲方有权拒收货物，乙方应在接到甲方通知的</w:t>
      </w:r>
      <w:r>
        <w:rPr>
          <w:rFonts w:eastAsia="仿宋_GB2312"/>
          <w:sz w:val="32"/>
          <w:szCs w:val="32"/>
          <w:u w:val="single"/>
        </w:rPr>
        <w:t>7</w:t>
      </w:r>
      <w:r>
        <w:rPr>
          <w:rFonts w:eastAsia="仿宋_GB2312"/>
          <w:sz w:val="32"/>
          <w:szCs w:val="32"/>
        </w:rPr>
        <w:t>天内免费修理、更换或补足以上货物。因此产生的一切费用，包括额外的运输费用等，将由乙方承担。如在期限内，乙方未能进行修理、更换或补足，则乙方应承担本合同约定承担关于逾期交货的违约责任。验收合格视为货物交付，货物所有权同时转移。货物正式交付甲方后有关保管、保险、灭失与毁损的风险由甲方承担，货物所有权亦同时转移给甲方。</w:t>
      </w:r>
    </w:p>
    <w:p>
      <w:pPr>
        <w:spacing w:line="560" w:lineRule="exact"/>
        <w:ind w:firstLine="640" w:firstLineChars="200"/>
        <w:rPr>
          <w:rFonts w:eastAsia="仿宋_GB2312"/>
          <w:sz w:val="32"/>
          <w:szCs w:val="32"/>
        </w:rPr>
      </w:pPr>
      <w:r>
        <w:rPr>
          <w:rFonts w:eastAsia="仿宋_GB2312"/>
          <w:sz w:val="32"/>
          <w:szCs w:val="32"/>
        </w:rPr>
        <w:t>4.验收标准：按照本项目甲方的招标文件、乙方投保文件及相关承诺、本合同规定以及国家有关技术标准。</w:t>
      </w:r>
    </w:p>
    <w:p>
      <w:pPr>
        <w:spacing w:line="560" w:lineRule="exact"/>
        <w:ind w:firstLine="640" w:firstLineChars="200"/>
        <w:rPr>
          <w:rFonts w:hint="eastAsia" w:ascii="黑体" w:hAnsi="黑体" w:eastAsia="黑体"/>
          <w:bCs/>
          <w:sz w:val="32"/>
          <w:szCs w:val="32"/>
        </w:rPr>
      </w:pPr>
      <w:r>
        <w:rPr>
          <w:rFonts w:ascii="黑体" w:hAnsi="黑体" w:eastAsia="黑体"/>
          <w:bCs/>
          <w:sz w:val="32"/>
          <w:szCs w:val="32"/>
        </w:rPr>
        <w:t>八、质量保证</w:t>
      </w:r>
    </w:p>
    <w:p>
      <w:pPr>
        <w:spacing w:line="560" w:lineRule="exact"/>
        <w:ind w:firstLine="640" w:firstLineChars="200"/>
        <w:rPr>
          <w:rFonts w:eastAsia="仿宋_GB2312"/>
          <w:sz w:val="32"/>
          <w:szCs w:val="32"/>
        </w:rPr>
      </w:pPr>
      <w:r>
        <w:rPr>
          <w:rFonts w:eastAsia="仿宋_GB2312"/>
          <w:sz w:val="32"/>
          <w:szCs w:val="32"/>
        </w:rPr>
        <w:t>（一）乙方对于货物向甲方提供的质保期为自甲方签署货物检验合格报告的次日起</w:t>
      </w:r>
      <w:r>
        <w:rPr>
          <w:rFonts w:eastAsia="仿宋_GB2312"/>
          <w:sz w:val="32"/>
          <w:szCs w:val="32"/>
          <w:u w:val="single"/>
        </w:rPr>
        <w:t xml:space="preserve"> 1</w:t>
      </w:r>
      <w:r>
        <w:rPr>
          <w:rFonts w:eastAsia="仿宋_GB2312"/>
          <w:sz w:val="32"/>
          <w:szCs w:val="32"/>
        </w:rPr>
        <w:t>年。</w:t>
      </w:r>
    </w:p>
    <w:p>
      <w:pPr>
        <w:spacing w:line="560" w:lineRule="exact"/>
        <w:ind w:firstLine="640" w:firstLineChars="200"/>
        <w:rPr>
          <w:rFonts w:eastAsia="仿宋_GB2312"/>
          <w:sz w:val="32"/>
          <w:szCs w:val="32"/>
        </w:rPr>
      </w:pPr>
      <w:r>
        <w:rPr>
          <w:rFonts w:eastAsia="仿宋_GB2312"/>
          <w:sz w:val="32"/>
          <w:szCs w:val="32"/>
        </w:rPr>
        <w:t>（二）量体合格率达到95%（按件），最终验收合格率达到100%。</w:t>
      </w:r>
    </w:p>
    <w:p>
      <w:pPr>
        <w:spacing w:line="560" w:lineRule="exact"/>
        <w:ind w:firstLine="640" w:firstLineChars="200"/>
        <w:rPr>
          <w:rFonts w:eastAsia="仿宋_GB2312"/>
          <w:sz w:val="32"/>
          <w:szCs w:val="32"/>
        </w:rPr>
      </w:pPr>
      <w:r>
        <w:rPr>
          <w:rFonts w:eastAsia="仿宋_GB2312"/>
          <w:sz w:val="32"/>
          <w:szCs w:val="32"/>
        </w:rPr>
        <w:t>（三）在质保期内货物本身发生的质量问题，乙方应在接到甲方故障通知后及时响应，48小时内解决问题。</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（四）对经乙方处理后仍达不到质量要求的货物，根据实际情况，经双方协商，可按以下办法处理：</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1.更换：乙方须在甲方提出更换要求之日起20日内更换，并由乙方承担由此所发生的全部费用（包括但不限于运输、保险、检验等所产生的费用）。</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2.退货处理：乙方应在甲方提出退货要求之日起20日内退还甲方已支付的全部货款，同时应承担该货物的全部费用（包括但不限于运输、保险、检验、货款利息及银行手续费等）。</w:t>
      </w:r>
    </w:p>
    <w:p>
      <w:pPr>
        <w:spacing w:line="560" w:lineRule="exact"/>
        <w:ind w:firstLine="640" w:firstLineChars="200"/>
        <w:rPr>
          <w:rFonts w:eastAsia="仿宋_GB2312"/>
          <w:sz w:val="32"/>
          <w:szCs w:val="32"/>
        </w:rPr>
      </w:pPr>
      <w:r>
        <w:rPr>
          <w:rFonts w:eastAsia="仿宋_GB2312"/>
          <w:sz w:val="32"/>
          <w:szCs w:val="32"/>
        </w:rPr>
        <w:t>（五）质保期内，对保修范围内的保修服务所发生的全部物质损耗和人员费用，均由乙方予以承担。乙方未及时承担保修责任的，甲方有权采用其他渠道和方式对货物进行维修，由此产生的费用由乙方承担。对因货物在保修期间发生的质量缺陷造成的甲方和（或）第三人的人身损害或财产损失，乙方应予以赔偿。</w:t>
      </w:r>
    </w:p>
    <w:p>
      <w:pPr>
        <w:spacing w:line="560" w:lineRule="exact"/>
        <w:ind w:firstLine="640" w:firstLineChars="200"/>
        <w:rPr>
          <w:rFonts w:eastAsia="仿宋_GB2312"/>
          <w:sz w:val="32"/>
          <w:szCs w:val="32"/>
        </w:rPr>
      </w:pPr>
      <w:r>
        <w:rPr>
          <w:rFonts w:eastAsia="仿宋_GB2312"/>
          <w:sz w:val="32"/>
          <w:szCs w:val="32"/>
        </w:rPr>
        <w:t>（六）对本款中应由乙方承担的全部保修和（或）赔偿费用，甲方有权在乙方的质量保证金中予以直接扣除，不足部分，甲方有权继续追索。乙方应在甲方通知其扣款之日起三日内将质量保证金补足至原数额，否则乙方</w:t>
      </w:r>
      <w:bookmarkStart w:id="136" w:name="_Hlk102737086"/>
      <w:r>
        <w:rPr>
          <w:rFonts w:eastAsia="仿宋_GB2312"/>
          <w:sz w:val="32"/>
          <w:szCs w:val="32"/>
        </w:rPr>
        <w:t>除补足质量保证金外还</w:t>
      </w:r>
      <w:bookmarkEnd w:id="136"/>
      <w:r>
        <w:rPr>
          <w:rFonts w:eastAsia="仿宋_GB2312"/>
          <w:sz w:val="32"/>
          <w:szCs w:val="32"/>
        </w:rPr>
        <w:t>应按未补足款项的</w:t>
      </w:r>
      <w:r>
        <w:rPr>
          <w:rFonts w:eastAsia="仿宋_GB2312"/>
          <w:sz w:val="32"/>
          <w:szCs w:val="32"/>
          <w:u w:val="single"/>
        </w:rPr>
        <w:t xml:space="preserve"> 50</w:t>
      </w:r>
      <w:r>
        <w:rPr>
          <w:rFonts w:hint="eastAsia" w:eastAsia="仿宋_GB2312"/>
          <w:sz w:val="32"/>
          <w:szCs w:val="32"/>
          <w:u w:val="single"/>
        </w:rPr>
        <w:t xml:space="preserve"> </w:t>
      </w:r>
      <w:r>
        <w:rPr>
          <w:rFonts w:eastAsia="仿宋_GB2312"/>
          <w:sz w:val="32"/>
          <w:szCs w:val="32"/>
        </w:rPr>
        <w:t xml:space="preserve"> %向甲方支付违约金。</w:t>
      </w:r>
    </w:p>
    <w:p>
      <w:pPr>
        <w:spacing w:line="560" w:lineRule="exact"/>
        <w:ind w:firstLine="640" w:firstLineChars="200"/>
        <w:rPr>
          <w:rFonts w:hint="eastAsia" w:ascii="黑体" w:hAnsi="黑体" w:eastAsia="黑体"/>
          <w:bCs/>
          <w:sz w:val="32"/>
          <w:szCs w:val="32"/>
        </w:rPr>
      </w:pPr>
      <w:r>
        <w:rPr>
          <w:rFonts w:ascii="黑体" w:hAnsi="黑体" w:eastAsia="黑体"/>
          <w:bCs/>
          <w:sz w:val="32"/>
          <w:szCs w:val="32"/>
        </w:rPr>
        <w:t>九、违约责任条款</w:t>
      </w:r>
    </w:p>
    <w:p>
      <w:pPr>
        <w:spacing w:line="560" w:lineRule="exact"/>
        <w:ind w:firstLine="640" w:firstLineChars="200"/>
        <w:rPr>
          <w:rFonts w:eastAsia="仿宋_GB2312"/>
          <w:sz w:val="32"/>
          <w:szCs w:val="32"/>
        </w:rPr>
      </w:pPr>
      <w:r>
        <w:rPr>
          <w:rFonts w:eastAsia="仿宋_GB2312"/>
          <w:sz w:val="32"/>
          <w:szCs w:val="32"/>
        </w:rPr>
        <w:t>（一）甲方违约责任：</w:t>
      </w:r>
    </w:p>
    <w:p>
      <w:pPr>
        <w:spacing w:line="560" w:lineRule="exact"/>
        <w:ind w:firstLine="640" w:firstLineChars="200"/>
        <w:rPr>
          <w:rFonts w:eastAsia="仿宋_GB2312"/>
          <w:sz w:val="32"/>
          <w:szCs w:val="32"/>
        </w:rPr>
      </w:pPr>
      <w:r>
        <w:rPr>
          <w:rFonts w:eastAsia="仿宋_GB2312"/>
          <w:sz w:val="32"/>
          <w:szCs w:val="32"/>
        </w:rPr>
        <w:t>1.因甲方原因逾期付款的，每逾期付款一日，甲方应按逾期付款部分的</w:t>
      </w:r>
      <w:r>
        <w:rPr>
          <w:rFonts w:eastAsia="仿宋_GB2312"/>
          <w:sz w:val="32"/>
          <w:szCs w:val="32"/>
          <w:u w:val="single"/>
        </w:rPr>
        <w:t>万分之五</w:t>
      </w:r>
      <w:r>
        <w:rPr>
          <w:rFonts w:eastAsia="仿宋_GB2312"/>
          <w:sz w:val="32"/>
          <w:szCs w:val="32"/>
        </w:rPr>
        <w:t>向乙方支付违约金，逾期违约金的支付不影响甲方合同义务的履行。甲方逾期付款超过</w:t>
      </w:r>
      <w:r>
        <w:rPr>
          <w:rFonts w:eastAsia="仿宋_GB2312"/>
          <w:sz w:val="32"/>
          <w:szCs w:val="32"/>
          <w:u w:val="single"/>
        </w:rPr>
        <w:t>20</w:t>
      </w:r>
      <w:r>
        <w:rPr>
          <w:rFonts w:eastAsia="仿宋_GB2312"/>
          <w:sz w:val="32"/>
          <w:szCs w:val="32"/>
        </w:rPr>
        <w:t>日的，乙方有权单方解除本合同。</w:t>
      </w:r>
    </w:p>
    <w:p>
      <w:pPr>
        <w:spacing w:line="560" w:lineRule="exact"/>
        <w:ind w:firstLine="640" w:firstLineChars="200"/>
        <w:rPr>
          <w:rFonts w:eastAsia="仿宋_GB2312"/>
          <w:sz w:val="32"/>
          <w:szCs w:val="32"/>
        </w:rPr>
      </w:pPr>
      <w:r>
        <w:rPr>
          <w:rFonts w:eastAsia="仿宋_GB2312"/>
          <w:sz w:val="32"/>
          <w:szCs w:val="32"/>
        </w:rPr>
        <w:t>2.除法定或本合同另有约定外，如由于甲方过错原因中途退货或单方解除合同的，甲方应向乙方支付合同总金额</w:t>
      </w:r>
      <w:r>
        <w:rPr>
          <w:rFonts w:eastAsia="仿宋_GB2312"/>
          <w:sz w:val="32"/>
          <w:szCs w:val="32"/>
          <w:u w:val="single"/>
        </w:rPr>
        <w:t>20</w:t>
      </w:r>
      <w:r>
        <w:rPr>
          <w:rFonts w:eastAsia="仿宋_GB2312"/>
          <w:sz w:val="32"/>
          <w:szCs w:val="32"/>
        </w:rPr>
        <w:t>％的违约金。</w:t>
      </w:r>
    </w:p>
    <w:p>
      <w:pPr>
        <w:spacing w:line="560" w:lineRule="exact"/>
        <w:ind w:firstLine="640" w:firstLineChars="200"/>
        <w:rPr>
          <w:rFonts w:eastAsia="仿宋_GB2312"/>
          <w:sz w:val="32"/>
          <w:szCs w:val="32"/>
        </w:rPr>
      </w:pPr>
      <w:r>
        <w:rPr>
          <w:rFonts w:eastAsia="仿宋_GB2312"/>
          <w:sz w:val="32"/>
          <w:szCs w:val="32"/>
        </w:rPr>
        <w:t>（二）乙方违约责任：</w:t>
      </w:r>
    </w:p>
    <w:p>
      <w:pPr>
        <w:spacing w:line="560" w:lineRule="exact"/>
        <w:ind w:firstLine="640" w:firstLineChars="200"/>
        <w:rPr>
          <w:rFonts w:eastAsia="仿宋_GB2312"/>
          <w:sz w:val="32"/>
          <w:szCs w:val="32"/>
        </w:rPr>
      </w:pPr>
      <w:r>
        <w:rPr>
          <w:rFonts w:eastAsia="仿宋_GB2312"/>
          <w:sz w:val="32"/>
          <w:szCs w:val="32"/>
        </w:rPr>
        <w:t>1.因乙方原因逾期交货的，每逾期交货一日，乙方应按逾期交货部分价款的</w:t>
      </w:r>
      <w:r>
        <w:rPr>
          <w:rFonts w:eastAsia="仿宋_GB2312"/>
          <w:sz w:val="32"/>
          <w:szCs w:val="32"/>
          <w:u w:val="single"/>
        </w:rPr>
        <w:t>万分之五</w:t>
      </w:r>
      <w:r>
        <w:rPr>
          <w:rFonts w:eastAsia="仿宋_GB2312"/>
          <w:sz w:val="32"/>
          <w:szCs w:val="32"/>
        </w:rPr>
        <w:t>向甲方支付违约金；上述逾期违约金的支付不影响乙方交货义务的履行；如乙方逾期交货超过</w:t>
      </w:r>
      <w:r>
        <w:rPr>
          <w:rFonts w:eastAsia="仿宋_GB2312"/>
          <w:sz w:val="32"/>
          <w:szCs w:val="32"/>
          <w:u w:val="single"/>
        </w:rPr>
        <w:t>20</w:t>
      </w:r>
      <w:r>
        <w:rPr>
          <w:rFonts w:eastAsia="仿宋_GB2312"/>
          <w:sz w:val="32"/>
          <w:szCs w:val="32"/>
        </w:rPr>
        <w:t>日的，甲方有权单方解除本合同，乙方应自收到甲方解除合同通知之日起</w:t>
      </w:r>
      <w:r>
        <w:rPr>
          <w:rFonts w:eastAsia="仿宋_GB2312"/>
          <w:sz w:val="32"/>
          <w:szCs w:val="32"/>
          <w:u w:val="single"/>
        </w:rPr>
        <w:t>7</w:t>
      </w:r>
      <w:r>
        <w:rPr>
          <w:rFonts w:eastAsia="仿宋_GB2312"/>
          <w:sz w:val="32"/>
          <w:szCs w:val="32"/>
        </w:rPr>
        <w:t>日内全额退还甲方已付货款及利息（利息按</w:t>
      </w:r>
      <w:bookmarkStart w:id="137" w:name="_Hlk102737120"/>
      <w:r>
        <w:rPr>
          <w:rFonts w:eastAsia="仿宋_GB2312"/>
          <w:sz w:val="32"/>
          <w:szCs w:val="32"/>
        </w:rPr>
        <w:t>同期贷款市场报价利率LPR</w:t>
      </w:r>
      <w:bookmarkEnd w:id="137"/>
      <w:r>
        <w:rPr>
          <w:rFonts w:eastAsia="仿宋_GB2312"/>
          <w:sz w:val="32"/>
          <w:szCs w:val="32"/>
        </w:rPr>
        <w:t>的</w:t>
      </w:r>
      <w:r>
        <w:rPr>
          <w:rFonts w:eastAsia="仿宋_GB2312"/>
          <w:sz w:val="32"/>
          <w:szCs w:val="32"/>
          <w:u w:val="single"/>
        </w:rPr>
        <w:t>4</w:t>
      </w:r>
      <w:r>
        <w:rPr>
          <w:rFonts w:eastAsia="仿宋_GB2312"/>
          <w:sz w:val="32"/>
          <w:szCs w:val="32"/>
        </w:rPr>
        <w:t>倍计算），乙方应再按合同总价的</w:t>
      </w:r>
      <w:r>
        <w:rPr>
          <w:rFonts w:eastAsia="仿宋_GB2312"/>
          <w:sz w:val="32"/>
          <w:szCs w:val="32"/>
          <w:u w:val="single"/>
        </w:rPr>
        <w:t>20</w:t>
      </w:r>
      <w:r>
        <w:rPr>
          <w:rFonts w:eastAsia="仿宋_GB2312"/>
          <w:sz w:val="32"/>
          <w:szCs w:val="32"/>
        </w:rPr>
        <w:t>%向甲方支付违约金。</w:t>
      </w:r>
    </w:p>
    <w:p>
      <w:pPr>
        <w:spacing w:line="560" w:lineRule="exact"/>
        <w:ind w:firstLine="640" w:firstLineChars="200"/>
        <w:rPr>
          <w:rFonts w:eastAsia="仿宋_GB2312"/>
          <w:sz w:val="32"/>
          <w:szCs w:val="32"/>
        </w:rPr>
      </w:pPr>
      <w:r>
        <w:rPr>
          <w:rFonts w:eastAsia="仿宋_GB2312"/>
          <w:sz w:val="32"/>
          <w:szCs w:val="32"/>
        </w:rPr>
        <w:t>2.如果由于乙方原因致使货物的到货检验不能在合同规定的时间内完成的，每逾期完成一日乙方应按合同总金额的</w:t>
      </w:r>
      <w:r>
        <w:rPr>
          <w:rFonts w:eastAsia="仿宋_GB2312"/>
          <w:sz w:val="32"/>
          <w:szCs w:val="32"/>
          <w:u w:val="single"/>
        </w:rPr>
        <w:t>万分之五</w:t>
      </w:r>
      <w:r>
        <w:rPr>
          <w:rFonts w:eastAsia="仿宋_GB2312"/>
          <w:sz w:val="32"/>
          <w:szCs w:val="32"/>
        </w:rPr>
        <w:t>支付违约金；上述逾期违约金的支付不影响乙方到货检验、初验及终验义务的履行；若逾期完成到货检验、初验或终验超过本合同约定时间</w:t>
      </w:r>
      <w:r>
        <w:rPr>
          <w:rFonts w:hint="eastAsia" w:eastAsia="仿宋_GB2312"/>
          <w:sz w:val="32"/>
          <w:szCs w:val="32"/>
          <w:u w:val="single"/>
        </w:rPr>
        <w:t xml:space="preserve"> </w:t>
      </w:r>
      <w:r>
        <w:rPr>
          <w:rFonts w:eastAsia="仿宋_GB2312"/>
          <w:sz w:val="32"/>
          <w:szCs w:val="32"/>
          <w:u w:val="single"/>
        </w:rPr>
        <w:t>30</w:t>
      </w:r>
      <w:r>
        <w:rPr>
          <w:rFonts w:eastAsia="仿宋_GB2312"/>
          <w:sz w:val="32"/>
          <w:szCs w:val="32"/>
        </w:rPr>
        <w:t>日以上的，甲方有权单方解除本合同。乙方应向甲方支付合同总金额</w:t>
      </w:r>
      <w:r>
        <w:rPr>
          <w:rFonts w:hint="eastAsia" w:eastAsia="仿宋_GB2312"/>
          <w:sz w:val="32"/>
          <w:szCs w:val="32"/>
          <w:u w:val="single"/>
        </w:rPr>
        <w:t xml:space="preserve"> </w:t>
      </w:r>
      <w:r>
        <w:rPr>
          <w:rFonts w:eastAsia="仿宋_GB2312"/>
          <w:sz w:val="32"/>
          <w:szCs w:val="32"/>
          <w:u w:val="single"/>
        </w:rPr>
        <w:t>20</w:t>
      </w:r>
      <w:r>
        <w:rPr>
          <w:rFonts w:hint="eastAsia" w:eastAsia="仿宋_GB2312"/>
          <w:sz w:val="32"/>
          <w:szCs w:val="32"/>
          <w:u w:val="single"/>
        </w:rPr>
        <w:t xml:space="preserve"> </w:t>
      </w:r>
      <w:r>
        <w:rPr>
          <w:rFonts w:eastAsia="仿宋_GB2312"/>
          <w:sz w:val="32"/>
          <w:szCs w:val="32"/>
        </w:rPr>
        <w:t xml:space="preserve"> % 的违约金。违约金不足以弥补甲方全部损失的，乙方还应予以赔偿。</w:t>
      </w:r>
    </w:p>
    <w:p>
      <w:pPr>
        <w:spacing w:line="560" w:lineRule="exact"/>
        <w:ind w:firstLine="640" w:firstLineChars="200"/>
        <w:rPr>
          <w:rFonts w:eastAsia="仿宋_GB2312"/>
          <w:sz w:val="32"/>
          <w:szCs w:val="32"/>
        </w:rPr>
      </w:pPr>
      <w:r>
        <w:rPr>
          <w:rFonts w:eastAsia="仿宋_GB2312"/>
          <w:sz w:val="32"/>
          <w:szCs w:val="32"/>
        </w:rPr>
        <w:t>3.如乙方交付货物的质量、数量、商标、规格、型号等不符合合同约定，或存在权利瑕疵，或存在知识产权纠纷的，乙方应负责处理与第三方的纠纷，并按以下第</w:t>
      </w:r>
      <w:r>
        <w:rPr>
          <w:rFonts w:eastAsia="仿宋_GB2312"/>
          <w:sz w:val="32"/>
          <w:szCs w:val="32"/>
          <w:u w:val="single"/>
        </w:rPr>
        <w:t>1、2</w:t>
      </w:r>
      <w:r>
        <w:rPr>
          <w:rFonts w:eastAsia="仿宋_GB2312"/>
          <w:sz w:val="32"/>
          <w:szCs w:val="32"/>
        </w:rPr>
        <w:t>项的约定向甲方承担违约责任，如因此给甲方造成损失的，乙方还应予以赔偿：</w:t>
      </w:r>
    </w:p>
    <w:p>
      <w:pPr>
        <w:spacing w:line="560" w:lineRule="exact"/>
        <w:ind w:firstLine="640" w:firstLineChars="200"/>
        <w:rPr>
          <w:rFonts w:eastAsia="仿宋_GB2312"/>
          <w:sz w:val="32"/>
          <w:szCs w:val="32"/>
        </w:rPr>
      </w:pPr>
      <w:r>
        <w:rPr>
          <w:rFonts w:eastAsia="仿宋_GB2312"/>
          <w:sz w:val="32"/>
          <w:szCs w:val="32"/>
        </w:rPr>
        <w:t>（1）甲方要求退货/解除合同的，乙方应自收到甲方退货/解除合同通知之日起</w:t>
      </w:r>
      <w:r>
        <w:rPr>
          <w:rFonts w:eastAsia="仿宋_GB2312"/>
          <w:sz w:val="32"/>
          <w:szCs w:val="32"/>
          <w:u w:val="single"/>
        </w:rPr>
        <w:t>20</w:t>
      </w:r>
      <w:r>
        <w:rPr>
          <w:rFonts w:eastAsia="仿宋_GB2312"/>
          <w:sz w:val="32"/>
          <w:szCs w:val="32"/>
        </w:rPr>
        <w:t>日内全额退还甲方已付货款及利息（利息按同期贷款市场报价利率LPR的</w:t>
      </w:r>
      <w:r>
        <w:rPr>
          <w:rFonts w:eastAsia="仿宋_GB2312"/>
          <w:sz w:val="32"/>
          <w:szCs w:val="32"/>
          <w:u w:val="single"/>
        </w:rPr>
        <w:t>4</w:t>
      </w:r>
      <w:r>
        <w:rPr>
          <w:rFonts w:eastAsia="仿宋_GB2312"/>
          <w:sz w:val="32"/>
          <w:szCs w:val="32"/>
        </w:rPr>
        <w:t>倍计算），并须按甲方已付货款的</w:t>
      </w:r>
      <w:r>
        <w:rPr>
          <w:rFonts w:eastAsia="仿宋_GB2312"/>
          <w:sz w:val="32"/>
          <w:szCs w:val="32"/>
          <w:u w:val="single"/>
        </w:rPr>
        <w:t>20</w:t>
      </w:r>
      <w:r>
        <w:rPr>
          <w:rFonts w:eastAsia="仿宋_GB2312"/>
          <w:sz w:val="32"/>
          <w:szCs w:val="32"/>
        </w:rPr>
        <w:t>％向甲方支付违约金；</w:t>
      </w:r>
    </w:p>
    <w:p>
      <w:pPr>
        <w:spacing w:line="560" w:lineRule="exact"/>
        <w:ind w:firstLine="640" w:firstLineChars="200"/>
        <w:rPr>
          <w:rFonts w:eastAsia="仿宋_GB2312"/>
          <w:sz w:val="32"/>
          <w:szCs w:val="32"/>
        </w:rPr>
      </w:pPr>
      <w:r>
        <w:rPr>
          <w:rFonts w:eastAsia="仿宋_GB2312"/>
          <w:sz w:val="32"/>
          <w:szCs w:val="32"/>
        </w:rPr>
        <w:t>（2）甲方要求换货的，乙方应按甲方的要求及时更换符合约定的货物交付甲方，并对换货部分按本合同的约定承担逾期交货的违约责任。</w:t>
      </w:r>
    </w:p>
    <w:p>
      <w:pPr>
        <w:spacing w:line="560" w:lineRule="exact"/>
        <w:ind w:firstLine="640" w:firstLineChars="200"/>
        <w:rPr>
          <w:rFonts w:eastAsia="仿宋_GB2312"/>
          <w:sz w:val="32"/>
          <w:szCs w:val="32"/>
        </w:rPr>
      </w:pPr>
      <w:r>
        <w:rPr>
          <w:rFonts w:eastAsia="仿宋_GB2312"/>
          <w:sz w:val="32"/>
          <w:szCs w:val="32"/>
        </w:rPr>
        <w:t>（3）甲方同意减价处理的，双方另行协商确定货物减价处理方案。</w:t>
      </w:r>
    </w:p>
    <w:p>
      <w:pPr>
        <w:spacing w:line="560" w:lineRule="exact"/>
        <w:ind w:firstLine="640" w:firstLineChars="200"/>
        <w:rPr>
          <w:rFonts w:eastAsia="仿宋_GB2312"/>
          <w:sz w:val="32"/>
          <w:szCs w:val="32"/>
        </w:rPr>
      </w:pPr>
      <w:r>
        <w:rPr>
          <w:rFonts w:eastAsia="仿宋_GB2312"/>
          <w:sz w:val="32"/>
          <w:szCs w:val="32"/>
        </w:rPr>
        <w:t>4.因乙方原因不能交货或单方解除合同，或乙方累计到货的质量不合格数或安装不合格数占甲方采购总数的</w:t>
      </w:r>
      <w:r>
        <w:rPr>
          <w:rFonts w:eastAsia="仿宋_GB2312"/>
          <w:sz w:val="32"/>
          <w:szCs w:val="32"/>
          <w:u w:val="single"/>
        </w:rPr>
        <w:t>10</w:t>
      </w:r>
      <w:r>
        <w:rPr>
          <w:rFonts w:eastAsia="仿宋_GB2312"/>
          <w:sz w:val="32"/>
          <w:szCs w:val="32"/>
        </w:rPr>
        <w:t>％时，甲方有权解除合同，乙方除退还已收取的货款及利息（按同期贷款市场报价利率LPR的</w:t>
      </w:r>
      <w:r>
        <w:rPr>
          <w:rFonts w:eastAsia="仿宋_GB2312"/>
          <w:sz w:val="32"/>
          <w:szCs w:val="32"/>
          <w:u w:val="single"/>
        </w:rPr>
        <w:t>4</w:t>
      </w:r>
      <w:r>
        <w:rPr>
          <w:rFonts w:eastAsia="仿宋_GB2312"/>
          <w:sz w:val="32"/>
          <w:szCs w:val="32"/>
        </w:rPr>
        <w:t>倍计算）外，还应向甲方支付合同总金额</w:t>
      </w:r>
      <w:r>
        <w:rPr>
          <w:rFonts w:eastAsia="仿宋_GB2312"/>
          <w:sz w:val="32"/>
          <w:szCs w:val="32"/>
          <w:u w:val="single"/>
        </w:rPr>
        <w:t>20</w:t>
      </w:r>
      <w:r>
        <w:rPr>
          <w:rFonts w:eastAsia="仿宋_GB2312"/>
          <w:sz w:val="32"/>
          <w:szCs w:val="32"/>
        </w:rPr>
        <w:t>％的违约金，并赔偿甲方因此所受的损失。</w:t>
      </w:r>
    </w:p>
    <w:p>
      <w:pPr>
        <w:spacing w:line="560" w:lineRule="exact"/>
        <w:ind w:firstLine="640" w:firstLineChars="200"/>
        <w:rPr>
          <w:rFonts w:eastAsia="仿宋_GB2312"/>
          <w:sz w:val="32"/>
          <w:szCs w:val="32"/>
        </w:rPr>
      </w:pPr>
      <w:r>
        <w:rPr>
          <w:rFonts w:eastAsia="仿宋_GB2312"/>
          <w:sz w:val="32"/>
          <w:szCs w:val="32"/>
        </w:rPr>
        <w:t>5.若乙方所供货物已投入使用，而甲方在使用过程中发现使用货物与合同约定不符的，乙方应按合同总金额的</w:t>
      </w:r>
      <w:r>
        <w:rPr>
          <w:rFonts w:eastAsia="仿宋_GB2312"/>
          <w:sz w:val="32"/>
          <w:szCs w:val="32"/>
          <w:u w:val="single"/>
        </w:rPr>
        <w:t>20</w:t>
      </w:r>
      <w:r>
        <w:rPr>
          <w:rFonts w:eastAsia="仿宋_GB2312"/>
          <w:sz w:val="32"/>
          <w:szCs w:val="32"/>
        </w:rPr>
        <w:t>%向甲方支付违约金，乙方应按甲方要求的时限免费更换或修理货物直至满足本合同要求，因此发生的全部费用由乙方承担。如因此造成甲方损失的，乙方还应负责赔偿。</w:t>
      </w:r>
    </w:p>
    <w:p>
      <w:pPr>
        <w:spacing w:line="560" w:lineRule="exact"/>
        <w:ind w:firstLine="640" w:firstLineChars="200"/>
        <w:rPr>
          <w:rFonts w:eastAsia="仿宋_GB2312"/>
          <w:sz w:val="32"/>
          <w:szCs w:val="32"/>
        </w:rPr>
      </w:pPr>
      <w:r>
        <w:rPr>
          <w:rFonts w:eastAsia="仿宋_GB2312"/>
          <w:sz w:val="32"/>
          <w:szCs w:val="32"/>
        </w:rPr>
        <w:t>6.本合同项下的各项工作（如安装、调试等），乙方应亲自完成，没有甲方的书面同意，乙方不得委托第三方进行，否则乙方应按合同总金额的</w:t>
      </w:r>
      <w:r>
        <w:rPr>
          <w:rFonts w:eastAsia="仿宋_GB2312"/>
          <w:sz w:val="32"/>
          <w:szCs w:val="32"/>
          <w:u w:val="single"/>
        </w:rPr>
        <w:t>20</w:t>
      </w:r>
      <w:r>
        <w:rPr>
          <w:rFonts w:eastAsia="仿宋_GB2312"/>
          <w:sz w:val="32"/>
          <w:szCs w:val="32"/>
        </w:rPr>
        <w:t xml:space="preserve"> %向甲方支付违约金，同时甲方有权单方面解除本合同，</w:t>
      </w:r>
      <w:bookmarkStart w:id="138" w:name="_Hlk102737200"/>
      <w:r>
        <w:rPr>
          <w:rFonts w:eastAsia="仿宋_GB2312"/>
          <w:sz w:val="32"/>
          <w:szCs w:val="32"/>
        </w:rPr>
        <w:t>乙方应退还甲方已支付的货款，且甲方不再</w:t>
      </w:r>
      <w:bookmarkEnd w:id="138"/>
      <w:r>
        <w:rPr>
          <w:rFonts w:eastAsia="仿宋_GB2312"/>
          <w:sz w:val="32"/>
          <w:szCs w:val="32"/>
        </w:rPr>
        <w:t>支付未付款项。</w:t>
      </w:r>
    </w:p>
    <w:p>
      <w:pPr>
        <w:spacing w:line="560" w:lineRule="exact"/>
        <w:ind w:firstLine="640" w:firstLineChars="200"/>
        <w:rPr>
          <w:rFonts w:eastAsia="仿宋_GB2312"/>
          <w:sz w:val="32"/>
          <w:szCs w:val="32"/>
        </w:rPr>
      </w:pPr>
      <w:r>
        <w:rPr>
          <w:rFonts w:eastAsia="仿宋_GB2312"/>
          <w:sz w:val="32"/>
          <w:szCs w:val="32"/>
        </w:rPr>
        <w:t>7.如因乙方责任，甲方把已收货物退还给乙方的，相关搬运、运输和投保费用均由乙方负责，甲方对货物在此期间发生的毁损、灭失的风险不承担责任。</w:t>
      </w:r>
    </w:p>
    <w:p>
      <w:pPr>
        <w:spacing w:line="560" w:lineRule="exact"/>
        <w:ind w:firstLine="640" w:firstLineChars="200"/>
        <w:rPr>
          <w:rFonts w:eastAsia="仿宋_GB2312"/>
          <w:sz w:val="32"/>
          <w:szCs w:val="32"/>
        </w:rPr>
      </w:pPr>
      <w:r>
        <w:rPr>
          <w:rFonts w:eastAsia="仿宋_GB2312"/>
          <w:sz w:val="32"/>
          <w:szCs w:val="32"/>
        </w:rPr>
        <w:t>（三）未经本合同另一方事先书面同意，任何一方均无权转让本合同或本合同中的任何权利或义务。若违反本条约定的，转让行为无效，违约方应按本合同总金额的</w:t>
      </w:r>
      <w:r>
        <w:rPr>
          <w:rFonts w:eastAsia="仿宋_GB2312"/>
          <w:sz w:val="32"/>
          <w:szCs w:val="32"/>
          <w:u w:val="single"/>
        </w:rPr>
        <w:t>20</w:t>
      </w:r>
      <w:r>
        <w:rPr>
          <w:rFonts w:eastAsia="仿宋_GB2312"/>
          <w:sz w:val="32"/>
          <w:szCs w:val="32"/>
        </w:rPr>
        <w:t>％向守约方支付违约金，守约方有权视具体情况单方面解除合同或要求继续履行合同。</w:t>
      </w:r>
    </w:p>
    <w:p>
      <w:pPr>
        <w:spacing w:line="560" w:lineRule="exact"/>
        <w:ind w:firstLine="640" w:firstLineChars="200"/>
        <w:rPr>
          <w:rFonts w:eastAsia="仿宋_GB2312"/>
          <w:sz w:val="32"/>
          <w:szCs w:val="32"/>
        </w:rPr>
      </w:pPr>
      <w:r>
        <w:rPr>
          <w:rFonts w:eastAsia="仿宋_GB2312"/>
          <w:sz w:val="32"/>
          <w:szCs w:val="32"/>
        </w:rPr>
        <w:t>（四）因违约方的行为造成守约方损失的，违约方除支付本合同约定的违约金外，还应全额赔偿守约方的损失（包括实际损失和合同履行后可以获得的利益，以及守约方追究违约方责任而支出的诉讼或仲裁费、合理的调查费、检验检测费、律师费、公证费、保全费、</w:t>
      </w:r>
      <w:bookmarkStart w:id="139" w:name="_Hlk102737216"/>
      <w:r>
        <w:rPr>
          <w:rFonts w:eastAsia="仿宋_GB2312"/>
          <w:sz w:val="32"/>
          <w:szCs w:val="32"/>
        </w:rPr>
        <w:t>保全责任保险费、</w:t>
      </w:r>
      <w:bookmarkEnd w:id="139"/>
      <w:r>
        <w:rPr>
          <w:rFonts w:eastAsia="仿宋_GB2312"/>
          <w:sz w:val="32"/>
          <w:szCs w:val="32"/>
        </w:rPr>
        <w:t>强制执行费等相关费用）</w:t>
      </w:r>
    </w:p>
    <w:p>
      <w:pPr>
        <w:spacing w:line="560" w:lineRule="exact"/>
        <w:ind w:firstLine="640" w:firstLineChars="200"/>
        <w:rPr>
          <w:rFonts w:eastAsia="仿宋_GB2312"/>
          <w:sz w:val="32"/>
          <w:szCs w:val="32"/>
        </w:rPr>
      </w:pPr>
      <w:r>
        <w:rPr>
          <w:rFonts w:eastAsia="仿宋_GB2312"/>
          <w:sz w:val="32"/>
          <w:szCs w:val="32"/>
        </w:rPr>
        <w:t>（五）如果乙方有赔偿和/或支付违约金的责任，则甲方有权从最近一笔付款中扣除相应金额。如果最近一笔付款不足以抵扣的，则甲方可从下一笔付款中继续扣除。前述扣除金额仍不足以抵扣的，甲方有权从履约保证金中继续扣除。</w:t>
      </w:r>
    </w:p>
    <w:p>
      <w:pPr>
        <w:spacing w:line="560" w:lineRule="exact"/>
        <w:ind w:firstLine="640" w:firstLineChars="200"/>
        <w:rPr>
          <w:rFonts w:hint="eastAsia" w:ascii="黑体" w:hAnsi="黑体" w:eastAsia="黑体"/>
          <w:bCs/>
          <w:sz w:val="32"/>
          <w:szCs w:val="32"/>
        </w:rPr>
      </w:pPr>
      <w:r>
        <w:rPr>
          <w:rFonts w:ascii="黑体" w:hAnsi="黑体" w:eastAsia="黑体"/>
          <w:bCs/>
          <w:sz w:val="32"/>
          <w:szCs w:val="32"/>
        </w:rPr>
        <w:t>十、不可抗力条款</w:t>
      </w:r>
    </w:p>
    <w:p>
      <w:pPr>
        <w:spacing w:line="560" w:lineRule="exact"/>
        <w:ind w:firstLine="640" w:firstLineChars="200"/>
        <w:rPr>
          <w:rFonts w:eastAsia="仿宋_GB2312"/>
          <w:sz w:val="32"/>
          <w:szCs w:val="32"/>
        </w:rPr>
      </w:pPr>
      <w:r>
        <w:rPr>
          <w:rFonts w:eastAsia="仿宋_GB2312"/>
          <w:sz w:val="32"/>
          <w:szCs w:val="32"/>
        </w:rPr>
        <w:t>（一）本合同所指不可抗力，是指不能预见、不能避免并不能克服的客观情况。</w:t>
      </w:r>
    </w:p>
    <w:p>
      <w:pPr>
        <w:spacing w:line="560" w:lineRule="exact"/>
        <w:ind w:firstLine="640" w:firstLineChars="200"/>
        <w:rPr>
          <w:rFonts w:eastAsia="仿宋_GB2312"/>
          <w:sz w:val="32"/>
          <w:szCs w:val="32"/>
        </w:rPr>
      </w:pPr>
      <w:r>
        <w:rPr>
          <w:rFonts w:eastAsia="仿宋_GB2312"/>
          <w:sz w:val="32"/>
          <w:szCs w:val="32"/>
        </w:rPr>
        <w:t>（二）由于不可抗力事件，致使一方在履行其在本合同项下的义务过程中遇到障碍或延误，不能按约定的条款全部或部分履行其义务的，遇到不可抗力事件的一方（以下简称“受阻方”），只要满足下列所有条件，可免于承担违约责任：</w:t>
      </w:r>
    </w:p>
    <w:p>
      <w:pPr>
        <w:spacing w:line="560" w:lineRule="exact"/>
        <w:ind w:firstLine="640" w:firstLineChars="200"/>
        <w:rPr>
          <w:rFonts w:eastAsia="仿宋_GB2312"/>
          <w:sz w:val="32"/>
          <w:szCs w:val="32"/>
        </w:rPr>
      </w:pPr>
      <w:r>
        <w:rPr>
          <w:rFonts w:eastAsia="仿宋_GB2312"/>
          <w:sz w:val="32"/>
          <w:szCs w:val="32"/>
        </w:rPr>
        <w:t>1.受阻方不能全部或部分履行其义务，是由于不可抗力事件直接造成的，且在不可抗力发生前受阻方不存在迟延履行相关义务的情形；</w:t>
      </w:r>
    </w:p>
    <w:p>
      <w:pPr>
        <w:spacing w:line="560" w:lineRule="exact"/>
        <w:ind w:firstLine="640" w:firstLineChars="200"/>
        <w:rPr>
          <w:rFonts w:eastAsia="仿宋_GB2312"/>
          <w:sz w:val="32"/>
          <w:szCs w:val="32"/>
        </w:rPr>
      </w:pPr>
      <w:r>
        <w:rPr>
          <w:rFonts w:eastAsia="仿宋_GB2312"/>
          <w:sz w:val="32"/>
          <w:szCs w:val="32"/>
        </w:rPr>
        <w:t>2.受阻方已尽最大努力履行其义务并减少由于不可抗力事件给另一方造成的损失；</w:t>
      </w:r>
    </w:p>
    <w:p>
      <w:pPr>
        <w:spacing w:line="560" w:lineRule="exact"/>
        <w:ind w:firstLine="640" w:firstLineChars="200"/>
        <w:rPr>
          <w:rFonts w:eastAsia="仿宋_GB2312"/>
          <w:sz w:val="32"/>
          <w:szCs w:val="32"/>
        </w:rPr>
      </w:pPr>
      <w:r>
        <w:rPr>
          <w:rFonts w:eastAsia="仿宋_GB2312"/>
          <w:sz w:val="32"/>
          <w:szCs w:val="32"/>
        </w:rPr>
        <w:t>3.不可抗力事件发生时，受阻方已立即通知对方，并在不可抗力事件发生后的十五日内提供有关该事件的公证文书或政府机构出具的证明文件，并附相应的书面说明，书面说明中应包括对延迟履行或部分履行本合同的原因说明。</w:t>
      </w:r>
    </w:p>
    <w:p>
      <w:pPr>
        <w:spacing w:line="560" w:lineRule="exact"/>
        <w:ind w:firstLine="640" w:firstLineChars="200"/>
        <w:rPr>
          <w:rFonts w:eastAsia="仿宋_GB2312"/>
          <w:sz w:val="32"/>
          <w:szCs w:val="32"/>
        </w:rPr>
      </w:pPr>
      <w:r>
        <w:rPr>
          <w:rFonts w:eastAsia="仿宋_GB2312"/>
          <w:sz w:val="32"/>
          <w:szCs w:val="32"/>
        </w:rPr>
        <w:t>（三）不可抗力事件终止或被排除后，受阻方应继续履行本合同，并应尽快通知另一方。受阻方可相应延长履行义务的期限。</w:t>
      </w:r>
    </w:p>
    <w:p>
      <w:pPr>
        <w:spacing w:line="560" w:lineRule="exact"/>
        <w:ind w:firstLine="640" w:firstLineChars="200"/>
        <w:rPr>
          <w:rFonts w:eastAsia="仿宋_GB2312"/>
          <w:sz w:val="32"/>
          <w:szCs w:val="32"/>
        </w:rPr>
      </w:pPr>
      <w:r>
        <w:rPr>
          <w:rFonts w:eastAsia="仿宋_GB2312"/>
          <w:sz w:val="32"/>
          <w:szCs w:val="32"/>
        </w:rPr>
        <w:t>（四）如果不可抗力事件的影响持续达三十日或以上时，双方应根据该事件对本合同履行的影响程度协商对合同进行的修改或终止履行。如在一方发出协商书面通知之日起十日内双方无法就此达成一致，任何一方均有权解除本合同且无须承担违约责任。</w:t>
      </w:r>
    </w:p>
    <w:p>
      <w:pPr>
        <w:spacing w:line="560" w:lineRule="exact"/>
        <w:ind w:firstLine="640" w:firstLineChars="200"/>
        <w:rPr>
          <w:rFonts w:hint="eastAsia" w:ascii="黑体" w:hAnsi="黑体" w:eastAsia="黑体"/>
          <w:bCs/>
          <w:sz w:val="32"/>
          <w:szCs w:val="32"/>
        </w:rPr>
      </w:pPr>
      <w:r>
        <w:rPr>
          <w:rFonts w:ascii="黑体" w:hAnsi="黑体" w:eastAsia="黑体"/>
          <w:bCs/>
          <w:sz w:val="32"/>
          <w:szCs w:val="32"/>
        </w:rPr>
        <w:t>十一、争议解决条款</w:t>
      </w:r>
    </w:p>
    <w:p>
      <w:pPr>
        <w:spacing w:line="560" w:lineRule="exact"/>
        <w:ind w:firstLine="640" w:firstLineChars="200"/>
        <w:rPr>
          <w:rFonts w:eastAsia="仿宋_GB2312"/>
          <w:sz w:val="32"/>
          <w:szCs w:val="32"/>
        </w:rPr>
      </w:pPr>
      <w:r>
        <w:rPr>
          <w:rFonts w:eastAsia="仿宋_GB2312"/>
          <w:sz w:val="32"/>
          <w:szCs w:val="32"/>
        </w:rPr>
        <w:t>（一）双方在履行合同过程中，如发生争议而双方通过协商不能解决的，则双方同意按下列第</w:t>
      </w:r>
      <w:r>
        <w:rPr>
          <w:rFonts w:hint="eastAsia" w:eastAsia="仿宋_GB2312"/>
          <w:sz w:val="32"/>
          <w:szCs w:val="32"/>
          <w:u w:val="single"/>
        </w:rPr>
        <w:t xml:space="preserve"> </w:t>
      </w:r>
      <w:r>
        <w:rPr>
          <w:rFonts w:eastAsia="仿宋_GB2312"/>
          <w:sz w:val="32"/>
          <w:szCs w:val="32"/>
          <w:u w:val="single"/>
        </w:rPr>
        <w:t>2</w:t>
      </w:r>
      <w:r>
        <w:rPr>
          <w:rFonts w:eastAsia="仿宋_GB2312"/>
          <w:sz w:val="32"/>
          <w:szCs w:val="32"/>
        </w:rPr>
        <w:t>种方式解决：</w:t>
      </w:r>
    </w:p>
    <w:p>
      <w:pPr>
        <w:spacing w:line="560" w:lineRule="exact"/>
        <w:ind w:firstLine="640" w:firstLineChars="200"/>
        <w:rPr>
          <w:rFonts w:eastAsia="仿宋_GB2312"/>
          <w:sz w:val="32"/>
          <w:szCs w:val="32"/>
        </w:rPr>
      </w:pPr>
      <w:r>
        <w:rPr>
          <w:rFonts w:eastAsia="仿宋_GB2312"/>
          <w:sz w:val="32"/>
          <w:szCs w:val="32"/>
        </w:rPr>
        <w:t>1.将该争议提交至</w:t>
      </w:r>
      <w:r>
        <w:rPr>
          <w:rFonts w:hint="eastAsia" w:eastAsia="仿宋_GB2312"/>
          <w:sz w:val="32"/>
          <w:szCs w:val="32"/>
          <w:u w:val="single"/>
        </w:rPr>
        <w:t xml:space="preserve"> </w:t>
      </w:r>
      <w:r>
        <w:rPr>
          <w:rFonts w:eastAsia="仿宋_GB2312"/>
          <w:sz w:val="32"/>
          <w:szCs w:val="32"/>
          <w:u w:val="single"/>
        </w:rPr>
        <w:t>梧州</w:t>
      </w:r>
      <w:r>
        <w:rPr>
          <w:rFonts w:hint="eastAsia" w:eastAsia="仿宋_GB2312"/>
          <w:sz w:val="32"/>
          <w:szCs w:val="32"/>
          <w:u w:val="single"/>
        </w:rPr>
        <w:t xml:space="preserve"> </w:t>
      </w:r>
      <w:r>
        <w:rPr>
          <w:rFonts w:eastAsia="仿宋_GB2312"/>
          <w:sz w:val="32"/>
          <w:szCs w:val="32"/>
        </w:rPr>
        <w:t>仲裁委员会，并依据该仲裁委员会现行有效的仲裁规则进行仲裁。</w:t>
      </w:r>
    </w:p>
    <w:p>
      <w:pPr>
        <w:spacing w:line="560" w:lineRule="exact"/>
        <w:ind w:firstLine="640" w:firstLineChars="200"/>
        <w:rPr>
          <w:rFonts w:eastAsia="仿宋_GB2312"/>
          <w:sz w:val="32"/>
          <w:szCs w:val="32"/>
        </w:rPr>
      </w:pPr>
      <w:r>
        <w:rPr>
          <w:rFonts w:eastAsia="仿宋_GB2312"/>
          <w:sz w:val="32"/>
          <w:szCs w:val="32"/>
        </w:rPr>
        <w:t>仲裁裁决是终局的，对双方具有约束力，并可依法申请强制执行。除非仲裁裁决有不同规定，败诉方应支付双方因仲裁所发生的一切法律费用，包括但不限于律师费。</w:t>
      </w:r>
    </w:p>
    <w:p>
      <w:pPr>
        <w:spacing w:line="560" w:lineRule="exact"/>
        <w:ind w:firstLine="640" w:firstLineChars="200"/>
        <w:rPr>
          <w:rFonts w:eastAsia="仿宋_GB2312"/>
          <w:sz w:val="32"/>
          <w:szCs w:val="32"/>
        </w:rPr>
      </w:pPr>
      <w:r>
        <w:rPr>
          <w:rFonts w:eastAsia="仿宋_GB2312"/>
          <w:sz w:val="32"/>
          <w:szCs w:val="32"/>
        </w:rPr>
        <w:t>2.向甲方营业执照登记的住所地有管辖权的人民法院提起诉讼解决。</w:t>
      </w:r>
    </w:p>
    <w:p>
      <w:pPr>
        <w:spacing w:line="560" w:lineRule="exact"/>
        <w:ind w:firstLine="640" w:firstLineChars="200"/>
        <w:rPr>
          <w:rFonts w:eastAsia="仿宋_GB2312"/>
          <w:sz w:val="32"/>
          <w:szCs w:val="32"/>
        </w:rPr>
      </w:pPr>
      <w:r>
        <w:rPr>
          <w:rFonts w:eastAsia="仿宋_GB2312"/>
          <w:sz w:val="32"/>
          <w:szCs w:val="32"/>
        </w:rPr>
        <w:t>（二）双方同意使用本合同通知与送达条款规定的方式送达与仲裁或强制执行仲裁裁决有关的传票、通知或其他文件。本合同通知与送达条款中的任何规定均不应影响一方以法律允许的其他方式送达上述传票、通知或其他文件的权利。</w:t>
      </w:r>
    </w:p>
    <w:p>
      <w:pPr>
        <w:spacing w:line="560" w:lineRule="exact"/>
        <w:ind w:firstLine="640" w:firstLineChars="200"/>
        <w:rPr>
          <w:rFonts w:eastAsia="仿宋_GB2312"/>
          <w:sz w:val="32"/>
          <w:szCs w:val="32"/>
        </w:rPr>
      </w:pPr>
      <w:r>
        <w:rPr>
          <w:rFonts w:eastAsia="仿宋_GB2312"/>
          <w:sz w:val="32"/>
          <w:szCs w:val="32"/>
        </w:rPr>
        <w:t>（三）本争议解决条款独立于本合同其他条款内容，本合同其他条款内容无效、被撤销或终止的，本条款内容依然有效。</w:t>
      </w:r>
    </w:p>
    <w:p>
      <w:pPr>
        <w:spacing w:line="560" w:lineRule="exact"/>
        <w:ind w:firstLine="640" w:firstLineChars="200"/>
        <w:rPr>
          <w:rFonts w:hint="eastAsia" w:ascii="黑体" w:hAnsi="黑体" w:eastAsia="黑体"/>
          <w:bCs/>
          <w:sz w:val="32"/>
          <w:szCs w:val="32"/>
        </w:rPr>
      </w:pPr>
      <w:r>
        <w:rPr>
          <w:rFonts w:ascii="黑体" w:hAnsi="黑体" w:eastAsia="黑体"/>
          <w:bCs/>
          <w:sz w:val="32"/>
          <w:szCs w:val="32"/>
        </w:rPr>
        <w:t>十二、通知送达条款</w:t>
      </w:r>
    </w:p>
    <w:p>
      <w:pPr>
        <w:spacing w:line="560" w:lineRule="exact"/>
        <w:ind w:firstLine="640" w:firstLineChars="200"/>
        <w:rPr>
          <w:rFonts w:eastAsia="仿宋_GB2312"/>
          <w:sz w:val="32"/>
          <w:szCs w:val="32"/>
        </w:rPr>
      </w:pPr>
      <w:r>
        <w:rPr>
          <w:rFonts w:eastAsia="仿宋_GB2312"/>
          <w:sz w:val="32"/>
          <w:szCs w:val="32"/>
        </w:rPr>
        <w:t>（一）根据本合同需要发出的全部通知，均须采取书面形式，以（A）专人递送，（B）特快专递，（C）传真或（D）挂号信件方式发出。特快专递或挂号信件的交寄日以邮戳为准。上述书面通知均须标明合同对方为收件人。</w:t>
      </w:r>
    </w:p>
    <w:p>
      <w:pPr>
        <w:spacing w:line="560" w:lineRule="exact"/>
        <w:ind w:firstLine="640" w:firstLineChars="200"/>
        <w:rPr>
          <w:rFonts w:eastAsia="仿宋_GB2312"/>
          <w:sz w:val="32"/>
          <w:szCs w:val="32"/>
        </w:rPr>
      </w:pPr>
      <w:r>
        <w:rPr>
          <w:rFonts w:eastAsia="仿宋_GB2312"/>
          <w:sz w:val="32"/>
          <w:szCs w:val="32"/>
        </w:rPr>
        <w:t>（二）上述书面通知按对方在本条第（四）项中所列的地址发出，并按本条第（三）项规定时间视为已经送达。如任何一方的地址有变更时，须在变更前十日以书面形式通知对方，否则造成延迟通知或通知不能的，由此产生的后果由过错方承担。</w:t>
      </w:r>
    </w:p>
    <w:p>
      <w:pPr>
        <w:spacing w:line="560" w:lineRule="exact"/>
        <w:ind w:firstLine="640" w:firstLineChars="200"/>
        <w:rPr>
          <w:rFonts w:eastAsia="仿宋_GB2312"/>
          <w:sz w:val="32"/>
          <w:szCs w:val="32"/>
        </w:rPr>
      </w:pPr>
      <w:r>
        <w:rPr>
          <w:rFonts w:eastAsia="仿宋_GB2312"/>
          <w:sz w:val="32"/>
          <w:szCs w:val="32"/>
        </w:rPr>
        <w:t>（三）双方按如下规定确定通知被视为正式送达的日期：</w:t>
      </w:r>
    </w:p>
    <w:p>
      <w:pPr>
        <w:spacing w:line="560" w:lineRule="exact"/>
        <w:ind w:firstLine="640" w:firstLineChars="200"/>
        <w:rPr>
          <w:rFonts w:eastAsia="仿宋_GB2312"/>
          <w:sz w:val="32"/>
          <w:szCs w:val="32"/>
        </w:rPr>
      </w:pPr>
      <w:r>
        <w:rPr>
          <w:rFonts w:eastAsia="仿宋_GB2312"/>
          <w:sz w:val="32"/>
          <w:szCs w:val="32"/>
        </w:rPr>
        <w:t>1.以专人递送的，双方在本合同约定的收件人签收之日视为送达日期。</w:t>
      </w:r>
    </w:p>
    <w:p>
      <w:pPr>
        <w:spacing w:line="560" w:lineRule="exact"/>
        <w:ind w:firstLine="640" w:firstLineChars="200"/>
        <w:rPr>
          <w:rFonts w:eastAsia="仿宋_GB2312"/>
          <w:sz w:val="32"/>
          <w:szCs w:val="32"/>
        </w:rPr>
      </w:pPr>
      <w:r>
        <w:rPr>
          <w:rFonts w:eastAsia="仿宋_GB2312"/>
          <w:sz w:val="32"/>
          <w:szCs w:val="32"/>
        </w:rPr>
        <w:t>2.以传真方式发出的，以发件方发送后打印出的发送确认单所示时间视为送达日期。</w:t>
      </w:r>
    </w:p>
    <w:p>
      <w:pPr>
        <w:spacing w:line="560" w:lineRule="exact"/>
        <w:ind w:firstLine="640" w:firstLineChars="200"/>
        <w:rPr>
          <w:rFonts w:eastAsia="仿宋_GB2312"/>
          <w:sz w:val="32"/>
          <w:szCs w:val="32"/>
        </w:rPr>
      </w:pPr>
      <w:r>
        <w:rPr>
          <w:rFonts w:eastAsia="仿宋_GB2312"/>
          <w:sz w:val="32"/>
          <w:szCs w:val="32"/>
        </w:rPr>
        <w:t>3.以特快专递形式发出的，发往本市市内的，发出后第二日视为送达。发往内地其他地区的，发出后第三日视为送达。发往港、澳、台地区的，发出后第四日视为送达。发往境外其他国家或地区的，发出后第六日视为送达。</w:t>
      </w:r>
    </w:p>
    <w:p>
      <w:pPr>
        <w:spacing w:line="560" w:lineRule="exact"/>
        <w:ind w:firstLine="640" w:firstLineChars="200"/>
        <w:rPr>
          <w:rFonts w:eastAsia="仿宋_GB2312"/>
          <w:sz w:val="32"/>
          <w:szCs w:val="32"/>
        </w:rPr>
      </w:pPr>
      <w:r>
        <w:rPr>
          <w:rFonts w:eastAsia="仿宋_GB2312"/>
          <w:sz w:val="32"/>
          <w:szCs w:val="32"/>
        </w:rPr>
        <w:t>4.以挂号方式发出的，发往本市市内的，邮寄后第三日视为送达。发往内地其他地区的，邮寄后第四日视为送达。发往港、澳、台地区的，邮寄后第五日视为送达。发往境外其他国家或地区的，邮寄后第七日视为送达。</w:t>
      </w:r>
    </w:p>
    <w:p>
      <w:pPr>
        <w:spacing w:line="560" w:lineRule="exact"/>
        <w:ind w:firstLine="640" w:firstLineChars="200"/>
        <w:rPr>
          <w:rFonts w:eastAsia="仿宋_GB2312"/>
          <w:sz w:val="32"/>
          <w:szCs w:val="32"/>
        </w:rPr>
      </w:pPr>
      <w:r>
        <w:rPr>
          <w:rFonts w:eastAsia="仿宋_GB2312"/>
          <w:sz w:val="32"/>
          <w:szCs w:val="32"/>
        </w:rPr>
        <w:t>（四）各方地址与联系方式如下</w:t>
      </w:r>
    </w:p>
    <w:p>
      <w:pPr>
        <w:spacing w:line="560" w:lineRule="exact"/>
        <w:ind w:firstLine="640" w:firstLineChars="200"/>
        <w:rPr>
          <w:rFonts w:eastAsia="仿宋_GB2312"/>
          <w:sz w:val="32"/>
          <w:szCs w:val="32"/>
        </w:rPr>
      </w:pPr>
      <w:r>
        <w:rPr>
          <w:rFonts w:eastAsia="仿宋_GB2312"/>
          <w:sz w:val="32"/>
          <w:szCs w:val="32"/>
        </w:rPr>
        <w:t>甲方：</w:t>
      </w:r>
    </w:p>
    <w:p>
      <w:pPr>
        <w:spacing w:line="560" w:lineRule="exact"/>
        <w:ind w:firstLine="640" w:firstLineChars="200"/>
        <w:rPr>
          <w:rFonts w:eastAsia="仿宋_GB2312"/>
          <w:sz w:val="32"/>
          <w:szCs w:val="32"/>
        </w:rPr>
      </w:pPr>
      <w:r>
        <w:rPr>
          <w:rFonts w:eastAsia="仿宋_GB2312"/>
          <w:sz w:val="32"/>
          <w:szCs w:val="32"/>
        </w:rPr>
        <w:t>地址：</w:t>
      </w:r>
    </w:p>
    <w:p>
      <w:pPr>
        <w:spacing w:line="560" w:lineRule="exact"/>
        <w:ind w:firstLine="640" w:firstLineChars="200"/>
        <w:rPr>
          <w:rFonts w:eastAsia="仿宋_GB2312"/>
          <w:sz w:val="32"/>
          <w:szCs w:val="32"/>
        </w:rPr>
      </w:pPr>
      <w:r>
        <w:rPr>
          <w:rFonts w:eastAsia="仿宋_GB2312"/>
          <w:sz w:val="32"/>
          <w:szCs w:val="32"/>
        </w:rPr>
        <w:t>电话：</w:t>
      </w:r>
    </w:p>
    <w:p>
      <w:pPr>
        <w:spacing w:line="560" w:lineRule="exact"/>
        <w:ind w:firstLine="640" w:firstLineChars="200"/>
        <w:rPr>
          <w:rFonts w:eastAsia="仿宋_GB2312"/>
          <w:sz w:val="32"/>
          <w:szCs w:val="32"/>
        </w:rPr>
      </w:pPr>
      <w:r>
        <w:rPr>
          <w:rFonts w:eastAsia="仿宋_GB2312"/>
          <w:sz w:val="32"/>
          <w:szCs w:val="32"/>
        </w:rPr>
        <w:t>传真：</w:t>
      </w:r>
    </w:p>
    <w:p>
      <w:pPr>
        <w:spacing w:line="560" w:lineRule="exact"/>
        <w:ind w:firstLine="640" w:firstLineChars="200"/>
        <w:rPr>
          <w:rFonts w:eastAsia="仿宋_GB2312"/>
          <w:sz w:val="32"/>
          <w:szCs w:val="32"/>
        </w:rPr>
      </w:pPr>
      <w:r>
        <w:rPr>
          <w:rFonts w:eastAsia="仿宋_GB2312"/>
          <w:sz w:val="32"/>
          <w:szCs w:val="32"/>
        </w:rPr>
        <w:t>邮政编码：</w:t>
      </w:r>
    </w:p>
    <w:p>
      <w:pPr>
        <w:spacing w:line="560" w:lineRule="exact"/>
        <w:ind w:firstLine="640" w:firstLineChars="200"/>
        <w:rPr>
          <w:rFonts w:eastAsia="仿宋_GB2312"/>
          <w:sz w:val="32"/>
          <w:szCs w:val="32"/>
        </w:rPr>
      </w:pPr>
      <w:r>
        <w:rPr>
          <w:rFonts w:eastAsia="仿宋_GB2312"/>
          <w:sz w:val="32"/>
          <w:szCs w:val="32"/>
        </w:rPr>
        <w:t>收件人：</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r>
        <w:rPr>
          <w:rFonts w:eastAsia="仿宋_GB2312"/>
          <w:sz w:val="32"/>
          <w:szCs w:val="32"/>
        </w:rPr>
        <w:t>乙方：</w:t>
      </w:r>
    </w:p>
    <w:p>
      <w:pPr>
        <w:spacing w:line="560" w:lineRule="exact"/>
        <w:ind w:firstLine="640" w:firstLineChars="200"/>
        <w:rPr>
          <w:rFonts w:eastAsia="仿宋_GB2312"/>
          <w:sz w:val="32"/>
          <w:szCs w:val="32"/>
        </w:rPr>
      </w:pPr>
      <w:r>
        <w:rPr>
          <w:rFonts w:eastAsia="仿宋_GB2312"/>
          <w:sz w:val="32"/>
          <w:szCs w:val="32"/>
        </w:rPr>
        <w:t>地址：</w:t>
      </w:r>
    </w:p>
    <w:p>
      <w:pPr>
        <w:spacing w:line="560" w:lineRule="exact"/>
        <w:ind w:firstLine="640" w:firstLineChars="200"/>
        <w:rPr>
          <w:rFonts w:eastAsia="仿宋_GB2312"/>
          <w:sz w:val="32"/>
          <w:szCs w:val="32"/>
        </w:rPr>
      </w:pPr>
      <w:r>
        <w:rPr>
          <w:rFonts w:eastAsia="仿宋_GB2312"/>
          <w:sz w:val="32"/>
          <w:szCs w:val="32"/>
        </w:rPr>
        <w:t>电话：</w:t>
      </w:r>
    </w:p>
    <w:p>
      <w:pPr>
        <w:spacing w:line="560" w:lineRule="exact"/>
        <w:ind w:firstLine="640" w:firstLineChars="200"/>
        <w:rPr>
          <w:rFonts w:eastAsia="仿宋_GB2312"/>
          <w:sz w:val="32"/>
          <w:szCs w:val="32"/>
        </w:rPr>
      </w:pPr>
      <w:r>
        <w:rPr>
          <w:rFonts w:eastAsia="仿宋_GB2312"/>
          <w:sz w:val="32"/>
          <w:szCs w:val="32"/>
        </w:rPr>
        <w:t>传真：</w:t>
      </w:r>
    </w:p>
    <w:p>
      <w:pPr>
        <w:spacing w:line="560" w:lineRule="exact"/>
        <w:ind w:firstLine="640" w:firstLineChars="200"/>
        <w:rPr>
          <w:rFonts w:eastAsia="仿宋_GB2312"/>
          <w:sz w:val="32"/>
          <w:szCs w:val="32"/>
        </w:rPr>
      </w:pPr>
      <w:r>
        <w:rPr>
          <w:rFonts w:eastAsia="仿宋_GB2312"/>
          <w:sz w:val="32"/>
          <w:szCs w:val="32"/>
        </w:rPr>
        <w:t>邮政编码：</w:t>
      </w:r>
    </w:p>
    <w:p>
      <w:pPr>
        <w:spacing w:line="560" w:lineRule="exact"/>
        <w:ind w:firstLine="640" w:firstLineChars="200"/>
        <w:rPr>
          <w:rFonts w:eastAsia="仿宋_GB2312"/>
          <w:sz w:val="32"/>
          <w:szCs w:val="32"/>
        </w:rPr>
      </w:pPr>
      <w:r>
        <w:rPr>
          <w:rFonts w:eastAsia="仿宋_GB2312"/>
          <w:sz w:val="32"/>
          <w:szCs w:val="32"/>
        </w:rPr>
        <w:t>收件人：</w:t>
      </w:r>
    </w:p>
    <w:p>
      <w:pPr>
        <w:spacing w:line="560" w:lineRule="exact"/>
        <w:ind w:firstLine="640" w:firstLineChars="200"/>
        <w:rPr>
          <w:rFonts w:eastAsia="仿宋_GB2312"/>
          <w:sz w:val="32"/>
          <w:szCs w:val="32"/>
        </w:rPr>
      </w:pPr>
      <w:r>
        <w:rPr>
          <w:rFonts w:eastAsia="仿宋_GB2312"/>
          <w:sz w:val="32"/>
          <w:szCs w:val="32"/>
        </w:rPr>
        <w:t>（五）本合同项下的通知自送达之日发生效力。</w:t>
      </w:r>
    </w:p>
    <w:p>
      <w:pPr>
        <w:spacing w:line="560" w:lineRule="exact"/>
        <w:ind w:firstLine="640" w:firstLineChars="200"/>
        <w:rPr>
          <w:rFonts w:hint="eastAsia" w:ascii="黑体" w:hAnsi="黑体" w:eastAsia="黑体"/>
          <w:bCs/>
          <w:sz w:val="32"/>
          <w:szCs w:val="32"/>
        </w:rPr>
      </w:pPr>
      <w:r>
        <w:rPr>
          <w:rFonts w:ascii="黑体" w:hAnsi="黑体" w:eastAsia="黑体"/>
          <w:bCs/>
          <w:sz w:val="32"/>
          <w:szCs w:val="32"/>
        </w:rPr>
        <w:t>十三、法律适用条款</w:t>
      </w:r>
    </w:p>
    <w:p>
      <w:pPr>
        <w:spacing w:line="560" w:lineRule="exact"/>
        <w:ind w:firstLine="640" w:firstLineChars="200"/>
        <w:rPr>
          <w:rFonts w:eastAsia="仿宋_GB2312"/>
          <w:sz w:val="32"/>
          <w:szCs w:val="32"/>
        </w:rPr>
      </w:pPr>
      <w:r>
        <w:rPr>
          <w:rFonts w:eastAsia="仿宋_GB2312"/>
          <w:sz w:val="32"/>
          <w:szCs w:val="32"/>
        </w:rPr>
        <w:t>本合同的成立、效力、解释、履行、签署、修订和终止以及争议的解决均应适用中华人民共和国法律。</w:t>
      </w:r>
    </w:p>
    <w:p>
      <w:pPr>
        <w:spacing w:line="560" w:lineRule="exact"/>
        <w:ind w:firstLine="640" w:firstLineChars="200"/>
        <w:rPr>
          <w:rFonts w:hint="eastAsia" w:ascii="黑体" w:hAnsi="黑体" w:eastAsia="黑体"/>
          <w:bCs/>
          <w:sz w:val="32"/>
          <w:szCs w:val="32"/>
        </w:rPr>
      </w:pPr>
      <w:r>
        <w:rPr>
          <w:rFonts w:ascii="黑体" w:hAnsi="黑体" w:eastAsia="黑体"/>
          <w:bCs/>
          <w:sz w:val="32"/>
          <w:szCs w:val="32"/>
        </w:rPr>
        <w:t>十四、合同附件条款</w:t>
      </w:r>
    </w:p>
    <w:p>
      <w:pPr>
        <w:spacing w:line="560" w:lineRule="exact"/>
        <w:ind w:firstLine="640" w:firstLineChars="200"/>
        <w:rPr>
          <w:rFonts w:eastAsia="仿宋_GB2312"/>
          <w:sz w:val="32"/>
          <w:szCs w:val="32"/>
        </w:rPr>
      </w:pPr>
      <w:r>
        <w:rPr>
          <w:rFonts w:eastAsia="仿宋_GB2312"/>
          <w:sz w:val="32"/>
          <w:szCs w:val="32"/>
        </w:rPr>
        <w:t>经双方确认的合同附件作为本合同的组成部分，与本合同正文具有同等法律效力。若合同附件与合同正文有任何冲突，以合同正文为准。</w:t>
      </w:r>
    </w:p>
    <w:p>
      <w:pPr>
        <w:spacing w:line="560" w:lineRule="exact"/>
        <w:ind w:firstLine="640" w:firstLineChars="200"/>
        <w:rPr>
          <w:rFonts w:hint="eastAsia" w:ascii="黑体" w:hAnsi="黑体" w:eastAsia="黑体"/>
          <w:bCs/>
          <w:sz w:val="32"/>
          <w:szCs w:val="32"/>
        </w:rPr>
      </w:pPr>
      <w:r>
        <w:rPr>
          <w:rFonts w:ascii="黑体" w:hAnsi="黑体" w:eastAsia="黑体"/>
          <w:bCs/>
          <w:sz w:val="32"/>
          <w:szCs w:val="32"/>
        </w:rPr>
        <w:t>十五、生效条款</w:t>
      </w:r>
    </w:p>
    <w:p>
      <w:pPr>
        <w:spacing w:line="560" w:lineRule="exact"/>
        <w:ind w:firstLine="640" w:firstLineChars="200"/>
        <w:rPr>
          <w:rFonts w:eastAsia="仿宋_GB2312"/>
          <w:sz w:val="32"/>
          <w:szCs w:val="32"/>
        </w:rPr>
      </w:pPr>
      <w:r>
        <w:rPr>
          <w:rFonts w:eastAsia="仿宋_GB2312"/>
          <w:sz w:val="32"/>
          <w:szCs w:val="32"/>
        </w:rPr>
        <w:t>本合同自双方法定代表人或委托代理人签字并加盖双方单位公章之日起生效。如由委托代理人签署的，签字前应向对方提供其委托代理人有权签署本合同的合法授权文件。合同原件一式陆份，双方各执叁份，具有同等法律效力。</w:t>
      </w:r>
    </w:p>
    <w:p>
      <w:pPr>
        <w:spacing w:line="560" w:lineRule="exact"/>
        <w:ind w:firstLine="640" w:firstLineChars="200"/>
        <w:rPr>
          <w:rFonts w:hint="eastAsia" w:ascii="黑体" w:hAnsi="黑体" w:eastAsia="黑体"/>
          <w:bCs/>
          <w:sz w:val="32"/>
          <w:szCs w:val="32"/>
        </w:rPr>
      </w:pPr>
      <w:r>
        <w:rPr>
          <w:rFonts w:ascii="黑体" w:hAnsi="黑体" w:eastAsia="黑体"/>
          <w:bCs/>
          <w:sz w:val="32"/>
          <w:szCs w:val="32"/>
        </w:rPr>
        <w:t>十六、合同文本条款</w:t>
      </w:r>
    </w:p>
    <w:p>
      <w:pPr>
        <w:spacing w:line="560" w:lineRule="exact"/>
        <w:ind w:firstLine="640" w:firstLineChars="200"/>
        <w:rPr>
          <w:rFonts w:eastAsia="仿宋_GB2312"/>
          <w:sz w:val="32"/>
          <w:szCs w:val="32"/>
        </w:rPr>
      </w:pPr>
      <w:r>
        <w:rPr>
          <w:rFonts w:eastAsia="仿宋_GB2312"/>
          <w:sz w:val="32"/>
          <w:szCs w:val="32"/>
        </w:rPr>
        <w:t>（一）本合同未列明的内容，在甲方招标（采购）文件中已有规定的，或者乙方在响应项目所提交的投标（报价）文件中有承诺的，甲方有权要求乙方履行，否则甲方有权追究乙方的违约责任。</w:t>
      </w:r>
    </w:p>
    <w:p>
      <w:pPr>
        <w:spacing w:line="560" w:lineRule="exact"/>
        <w:ind w:firstLine="640" w:firstLineChars="200"/>
        <w:rPr>
          <w:rFonts w:eastAsia="仿宋_GB2312"/>
          <w:sz w:val="32"/>
          <w:szCs w:val="32"/>
        </w:rPr>
      </w:pPr>
      <w:r>
        <w:rPr>
          <w:rFonts w:eastAsia="仿宋_GB2312"/>
          <w:sz w:val="32"/>
          <w:szCs w:val="32"/>
        </w:rPr>
        <w:t>（二）本合同未尽事宜，应由双方友好协商解决。如需对本合同及其附件做任何修改或补充，须由双方以书面作出方为有效。修改或补充文件与本合同有不一致的，以修改或补充文件为准。</w:t>
      </w:r>
    </w:p>
    <w:p>
      <w:pPr>
        <w:spacing w:line="560" w:lineRule="exact"/>
        <w:ind w:firstLine="640" w:firstLineChars="200"/>
        <w:rPr>
          <w:rFonts w:eastAsia="仿宋_GB2312"/>
          <w:sz w:val="32"/>
          <w:szCs w:val="32"/>
        </w:rPr>
      </w:pPr>
      <w:r>
        <w:rPr>
          <w:rFonts w:eastAsia="仿宋_GB2312"/>
          <w:sz w:val="32"/>
          <w:szCs w:val="32"/>
        </w:rPr>
        <w:t>（三）本合同如有任何变更、终止或解除需双方同意并签署书面文件方为有效。</w:t>
      </w:r>
    </w:p>
    <w:p>
      <w:pPr>
        <w:spacing w:line="560" w:lineRule="exact"/>
        <w:ind w:firstLine="640" w:firstLineChars="200"/>
        <w:rPr>
          <w:rFonts w:eastAsia="仿宋_GB2312"/>
          <w:sz w:val="32"/>
          <w:szCs w:val="32"/>
        </w:rPr>
      </w:pPr>
      <w:r>
        <w:rPr>
          <w:rFonts w:eastAsia="仿宋_GB2312"/>
          <w:sz w:val="32"/>
          <w:szCs w:val="32"/>
        </w:rPr>
        <w:t>（四）本合同签署前，双方应向对方提供其委托代理人有权签署本合同的合法授权文件。</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4"/>
        <w:gridCol w:w="4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2" w:hRule="atLeast"/>
          <w:jc w:val="center"/>
        </w:trPr>
        <w:tc>
          <w:tcPr>
            <w:tcW w:w="4564" w:type="dxa"/>
          </w:tcPr>
          <w:p>
            <w:pPr>
              <w:spacing w:line="460" w:lineRule="exact"/>
              <w:jc w:val="center"/>
              <w:rPr>
                <w:rFonts w:ascii="楷体_GB2312" w:eastAsia="楷体_GB2312"/>
                <w:sz w:val="24"/>
              </w:rPr>
            </w:pPr>
            <w:r>
              <w:rPr>
                <w:rFonts w:hint="eastAsia" w:ascii="楷体_GB2312" w:eastAsia="楷体_GB2312"/>
                <w:sz w:val="24"/>
              </w:rPr>
              <w:t>甲方</w:t>
            </w:r>
          </w:p>
          <w:p>
            <w:pPr>
              <w:spacing w:line="460" w:lineRule="exact"/>
              <w:rPr>
                <w:rFonts w:ascii="楷体_GB2312" w:eastAsia="楷体_GB2312"/>
                <w:sz w:val="24"/>
              </w:rPr>
            </w:pPr>
            <w:r>
              <w:rPr>
                <w:rFonts w:hint="eastAsia" w:ascii="楷体_GB2312" w:eastAsia="楷体_GB2312"/>
                <w:sz w:val="24"/>
              </w:rPr>
              <w:t>甲方（章）：</w:t>
            </w:r>
          </w:p>
          <w:p>
            <w:pPr>
              <w:spacing w:line="460" w:lineRule="exact"/>
              <w:rPr>
                <w:rFonts w:ascii="楷体_GB2312" w:eastAsia="楷体_GB2312"/>
                <w:sz w:val="24"/>
              </w:rPr>
            </w:pPr>
            <w:r>
              <w:rPr>
                <w:rFonts w:hint="eastAsia" w:ascii="楷体_GB2312" w:eastAsia="楷体_GB2312"/>
                <w:sz w:val="24"/>
              </w:rPr>
              <w:t xml:space="preserve">单位地址： </w:t>
            </w:r>
          </w:p>
          <w:p>
            <w:pPr>
              <w:spacing w:line="460" w:lineRule="exact"/>
              <w:rPr>
                <w:rFonts w:ascii="楷体_GB2312" w:eastAsia="楷体_GB2312"/>
                <w:sz w:val="24"/>
              </w:rPr>
            </w:pPr>
            <w:r>
              <w:rPr>
                <w:rFonts w:hint="eastAsia" w:ascii="楷体_GB2312" w:eastAsia="楷体_GB2312"/>
                <w:sz w:val="24"/>
              </w:rPr>
              <w:t>联系电话：</w:t>
            </w:r>
          </w:p>
          <w:p>
            <w:pPr>
              <w:spacing w:line="460" w:lineRule="exact"/>
              <w:rPr>
                <w:rFonts w:ascii="楷体_GB2312" w:eastAsia="楷体_GB2312"/>
                <w:sz w:val="24"/>
              </w:rPr>
            </w:pPr>
            <w:r>
              <w:rPr>
                <w:rFonts w:hint="eastAsia" w:ascii="楷体_GB2312" w:eastAsia="楷体_GB2312"/>
                <w:sz w:val="24"/>
              </w:rPr>
              <w:t>法定代表人或</w:t>
            </w:r>
          </w:p>
          <w:p>
            <w:pPr>
              <w:spacing w:line="460" w:lineRule="exact"/>
              <w:rPr>
                <w:rFonts w:ascii="楷体_GB2312" w:eastAsia="楷体_GB2312"/>
                <w:sz w:val="24"/>
              </w:rPr>
            </w:pPr>
            <w:r>
              <w:rPr>
                <w:rFonts w:hint="eastAsia" w:ascii="楷体_GB2312" w:eastAsia="楷体_GB2312"/>
                <w:sz w:val="24"/>
              </w:rPr>
              <w:t>委托代理人（签字）：</w:t>
            </w:r>
          </w:p>
          <w:p>
            <w:pPr>
              <w:spacing w:line="460" w:lineRule="exact"/>
              <w:rPr>
                <w:rFonts w:ascii="楷体_GB2312" w:eastAsia="楷体_GB2312"/>
                <w:sz w:val="24"/>
              </w:rPr>
            </w:pPr>
            <w:r>
              <w:rPr>
                <w:rFonts w:hint="eastAsia" w:ascii="楷体_GB2312" w:eastAsia="楷体_GB2312"/>
                <w:sz w:val="24"/>
              </w:rPr>
              <w:t>开户银行：</w:t>
            </w:r>
          </w:p>
          <w:p>
            <w:pPr>
              <w:spacing w:line="460" w:lineRule="exact"/>
              <w:rPr>
                <w:rFonts w:ascii="楷体_GB2312" w:eastAsia="楷体_GB2312"/>
                <w:sz w:val="24"/>
              </w:rPr>
            </w:pPr>
            <w:r>
              <w:rPr>
                <w:rFonts w:hint="eastAsia" w:ascii="楷体_GB2312" w:eastAsia="楷体_GB2312"/>
                <w:sz w:val="24"/>
              </w:rPr>
              <w:t>账户名称：</w:t>
            </w:r>
          </w:p>
          <w:p>
            <w:pPr>
              <w:spacing w:line="460" w:lineRule="exact"/>
              <w:rPr>
                <w:rFonts w:ascii="楷体_GB2312" w:eastAsia="楷体_GB2312"/>
                <w:sz w:val="24"/>
              </w:rPr>
            </w:pPr>
            <w:r>
              <w:rPr>
                <w:rFonts w:hint="eastAsia" w:ascii="楷体_GB2312" w:eastAsia="楷体_GB2312"/>
                <w:sz w:val="24"/>
              </w:rPr>
              <w:t>账号：</w:t>
            </w:r>
          </w:p>
        </w:tc>
        <w:tc>
          <w:tcPr>
            <w:tcW w:w="4648" w:type="dxa"/>
          </w:tcPr>
          <w:p>
            <w:pPr>
              <w:spacing w:line="460" w:lineRule="exact"/>
              <w:jc w:val="center"/>
              <w:rPr>
                <w:rFonts w:ascii="楷体_GB2312" w:eastAsia="楷体_GB2312"/>
                <w:sz w:val="24"/>
              </w:rPr>
            </w:pPr>
            <w:r>
              <w:rPr>
                <w:rFonts w:hint="eastAsia" w:ascii="楷体_GB2312" w:eastAsia="楷体_GB2312"/>
                <w:sz w:val="24"/>
              </w:rPr>
              <w:t>乙方</w:t>
            </w:r>
          </w:p>
          <w:p>
            <w:pPr>
              <w:spacing w:line="460" w:lineRule="exact"/>
              <w:rPr>
                <w:rFonts w:ascii="楷体_GB2312" w:eastAsia="楷体_GB2312"/>
                <w:sz w:val="24"/>
              </w:rPr>
            </w:pPr>
            <w:r>
              <w:rPr>
                <w:rFonts w:hint="eastAsia" w:ascii="楷体_GB2312" w:eastAsia="楷体_GB2312"/>
                <w:sz w:val="24"/>
              </w:rPr>
              <w:t xml:space="preserve">乙方（章）： </w:t>
            </w:r>
          </w:p>
          <w:p>
            <w:pPr>
              <w:spacing w:line="460" w:lineRule="exact"/>
              <w:rPr>
                <w:rFonts w:ascii="楷体_GB2312" w:eastAsia="楷体_GB2312"/>
                <w:sz w:val="24"/>
              </w:rPr>
            </w:pPr>
            <w:r>
              <w:rPr>
                <w:rFonts w:hint="eastAsia" w:ascii="楷体_GB2312" w:eastAsia="楷体_GB2312"/>
                <w:sz w:val="24"/>
              </w:rPr>
              <w:t>单位地址：</w:t>
            </w:r>
          </w:p>
          <w:p>
            <w:pPr>
              <w:spacing w:line="460" w:lineRule="exact"/>
              <w:rPr>
                <w:rFonts w:ascii="楷体_GB2312" w:eastAsia="楷体_GB2312"/>
                <w:sz w:val="24"/>
              </w:rPr>
            </w:pPr>
            <w:r>
              <w:rPr>
                <w:rFonts w:hint="eastAsia" w:ascii="楷体_GB2312" w:eastAsia="楷体_GB2312"/>
                <w:sz w:val="24"/>
              </w:rPr>
              <w:t>联系电话：</w:t>
            </w:r>
          </w:p>
          <w:p>
            <w:pPr>
              <w:spacing w:line="460" w:lineRule="exact"/>
              <w:rPr>
                <w:rFonts w:ascii="楷体_GB2312" w:eastAsia="楷体_GB2312"/>
                <w:sz w:val="24"/>
              </w:rPr>
            </w:pPr>
            <w:r>
              <w:rPr>
                <w:rFonts w:hint="eastAsia" w:ascii="楷体_GB2312" w:eastAsia="楷体_GB2312"/>
                <w:sz w:val="24"/>
              </w:rPr>
              <w:t>法定代表人或</w:t>
            </w:r>
          </w:p>
          <w:p>
            <w:pPr>
              <w:spacing w:line="460" w:lineRule="exact"/>
              <w:rPr>
                <w:rFonts w:ascii="楷体_GB2312" w:eastAsia="楷体_GB2312"/>
                <w:sz w:val="24"/>
              </w:rPr>
            </w:pPr>
            <w:r>
              <w:rPr>
                <w:rFonts w:hint="eastAsia" w:ascii="楷体_GB2312" w:eastAsia="楷体_GB2312"/>
                <w:sz w:val="24"/>
              </w:rPr>
              <w:t>委托代理人（签字）：</w:t>
            </w:r>
          </w:p>
          <w:p>
            <w:pPr>
              <w:spacing w:line="460" w:lineRule="exact"/>
              <w:rPr>
                <w:rFonts w:ascii="楷体_GB2312" w:eastAsia="楷体_GB2312"/>
                <w:sz w:val="24"/>
              </w:rPr>
            </w:pPr>
            <w:r>
              <w:rPr>
                <w:rFonts w:hint="eastAsia" w:ascii="楷体_GB2312" w:eastAsia="楷体_GB2312"/>
                <w:sz w:val="24"/>
              </w:rPr>
              <w:t xml:space="preserve">开户银行： </w:t>
            </w:r>
          </w:p>
          <w:p>
            <w:pPr>
              <w:spacing w:line="460" w:lineRule="exact"/>
              <w:rPr>
                <w:rFonts w:ascii="楷体_GB2312" w:eastAsia="楷体_GB2312"/>
                <w:sz w:val="24"/>
              </w:rPr>
            </w:pPr>
            <w:r>
              <w:rPr>
                <w:rFonts w:hint="eastAsia" w:ascii="楷体_GB2312" w:eastAsia="楷体_GB2312"/>
                <w:sz w:val="24"/>
              </w:rPr>
              <w:t>账户名称：</w:t>
            </w:r>
          </w:p>
          <w:p>
            <w:pPr>
              <w:spacing w:line="460" w:lineRule="exact"/>
              <w:rPr>
                <w:rFonts w:ascii="楷体_GB2312" w:eastAsia="楷体_GB2312"/>
                <w:sz w:val="24"/>
              </w:rPr>
            </w:pPr>
            <w:r>
              <w:rPr>
                <w:rFonts w:hint="eastAsia" w:ascii="楷体_GB2312" w:eastAsia="楷体_GB2312"/>
                <w:sz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jc w:val="center"/>
        </w:trPr>
        <w:tc>
          <w:tcPr>
            <w:tcW w:w="9212" w:type="dxa"/>
            <w:gridSpan w:val="2"/>
            <w:vAlign w:val="center"/>
          </w:tcPr>
          <w:p>
            <w:pPr>
              <w:spacing w:line="460" w:lineRule="exact"/>
              <w:ind w:firstLine="2280" w:firstLineChars="950"/>
              <w:rPr>
                <w:rFonts w:ascii="楷体_GB2312" w:eastAsia="楷体_GB2312"/>
                <w:sz w:val="24"/>
              </w:rPr>
            </w:pPr>
            <w:r>
              <w:rPr>
                <w:rFonts w:hint="eastAsia" w:ascii="楷体_GB2312" w:eastAsia="楷体_GB2312"/>
                <w:sz w:val="24"/>
              </w:rPr>
              <w:t>签订日期：       年    月    日</w:t>
            </w:r>
          </w:p>
        </w:tc>
      </w:tr>
    </w:tbl>
    <w:p>
      <w:pPr>
        <w:adjustRightInd/>
        <w:spacing w:line="288" w:lineRule="auto"/>
        <w:ind w:firstLine="420"/>
        <w:textAlignment w:val="auto"/>
        <w:rPr>
          <w:szCs w:val="21"/>
        </w:rPr>
      </w:pPr>
    </w:p>
    <w:p>
      <w:pPr>
        <w:adjustRightInd/>
        <w:spacing w:line="288" w:lineRule="auto"/>
        <w:ind w:firstLine="420"/>
        <w:textAlignment w:val="auto"/>
        <w:rPr>
          <w:szCs w:val="21"/>
        </w:rPr>
      </w:pPr>
    </w:p>
    <w:p>
      <w:pPr>
        <w:adjustRightInd/>
        <w:spacing w:line="288" w:lineRule="auto"/>
        <w:textAlignment w:val="auto"/>
        <w:rPr>
          <w:szCs w:val="21"/>
        </w:rPr>
      </w:pPr>
    </w:p>
    <w:p>
      <w:pPr>
        <w:adjustRightInd/>
        <w:spacing w:line="288" w:lineRule="auto"/>
        <w:textAlignment w:val="auto"/>
        <w:rPr>
          <w:szCs w:val="21"/>
        </w:rPr>
      </w:pPr>
    </w:p>
    <w:p>
      <w:pPr>
        <w:adjustRightInd/>
        <w:spacing w:line="288" w:lineRule="auto"/>
        <w:textAlignment w:val="auto"/>
        <w:rPr>
          <w:rFonts w:hint="eastAsia" w:ascii="黑体" w:hAnsi="黑体" w:eastAsia="黑体"/>
          <w:sz w:val="32"/>
          <w:szCs w:val="32"/>
        </w:rPr>
      </w:pPr>
      <w:r>
        <w:rPr>
          <w:rFonts w:hint="eastAsia" w:ascii="黑体" w:hAnsi="黑体" w:eastAsia="黑体"/>
          <w:sz w:val="32"/>
          <w:szCs w:val="32"/>
        </w:rPr>
        <w:t>附件</w:t>
      </w:r>
    </w:p>
    <w:p>
      <w:pPr>
        <w:adjustRightInd/>
        <w:spacing w:line="560" w:lineRule="exact"/>
        <w:ind w:firstLine="420"/>
        <w:textAlignment w:val="auto"/>
        <w:rPr>
          <w:szCs w:val="21"/>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塑碗前包装装篮自动化设备采购（编号：SQ-202502）项目比选方案补充说明</w:t>
      </w:r>
    </w:p>
    <w:p>
      <w:pPr>
        <w:spacing w:line="560" w:lineRule="exact"/>
        <w:rPr>
          <w:rFonts w:eastAsia="仿宋_GB2312"/>
          <w:bCs/>
          <w:sz w:val="32"/>
          <w:szCs w:val="32"/>
        </w:rPr>
      </w:pPr>
    </w:p>
    <w:p>
      <w:pPr>
        <w:spacing w:line="560" w:lineRule="exact"/>
        <w:rPr>
          <w:rFonts w:eastAsia="仿宋_GB2312"/>
          <w:bCs/>
          <w:sz w:val="32"/>
          <w:szCs w:val="32"/>
        </w:rPr>
      </w:pPr>
      <w:r>
        <w:rPr>
          <w:rFonts w:eastAsia="仿宋_GB2312"/>
          <w:bCs/>
          <w:sz w:val="32"/>
          <w:szCs w:val="32"/>
        </w:rPr>
        <w:t>各报价单位：</w:t>
      </w:r>
    </w:p>
    <w:p>
      <w:pPr>
        <w:spacing w:line="560" w:lineRule="exact"/>
        <w:ind w:firstLine="640" w:firstLineChars="200"/>
        <w:rPr>
          <w:rFonts w:eastAsia="仿宋_GB2312"/>
          <w:bCs/>
          <w:sz w:val="32"/>
          <w:szCs w:val="32"/>
        </w:rPr>
      </w:pPr>
      <w:r>
        <w:rPr>
          <w:rFonts w:eastAsia="仿宋_GB2312"/>
          <w:bCs/>
          <w:sz w:val="32"/>
          <w:szCs w:val="32"/>
        </w:rPr>
        <w:t>现对《塑碗前包装装篮自动化设备采购采购（编号：SQ-202502）项目比选方案》补充说明响应文件构成。</w:t>
      </w:r>
      <w:r>
        <w:rPr>
          <w:rFonts w:eastAsia="仿宋_GB2312"/>
          <w:sz w:val="32"/>
          <w:szCs w:val="32"/>
        </w:rPr>
        <w:t>报价人应仔细阅读《塑碗前包装装篮自动化设备采购采购（编号：SQ-202502）项目比选方案》的所有内容，按要求编写响应文件，并保证所提供的全部资料的真实性、完整性及有效性，对《塑碗前包装装篮自动化设备采购采购（编号：SQ-202502）项目比选方案》文件作出实质性响应。否则，其响应文件可能被拒绝</w:t>
      </w:r>
      <w:r>
        <w:rPr>
          <w:rFonts w:eastAsia="仿宋_GB2312"/>
          <w:bCs/>
          <w:sz w:val="32"/>
          <w:szCs w:val="32"/>
        </w:rPr>
        <w:t>。</w:t>
      </w:r>
    </w:p>
    <w:p>
      <w:pPr>
        <w:spacing w:line="560" w:lineRule="exact"/>
        <w:ind w:firstLine="640" w:firstLineChars="200"/>
        <w:outlineLvl w:val="1"/>
        <w:rPr>
          <w:rFonts w:hint="eastAsia" w:ascii="黑体" w:hAnsi="黑体" w:eastAsia="黑体"/>
          <w:bCs/>
          <w:sz w:val="32"/>
          <w:szCs w:val="32"/>
        </w:rPr>
      </w:pPr>
      <w:r>
        <w:rPr>
          <w:rFonts w:ascii="黑体" w:hAnsi="黑体" w:eastAsia="黑体"/>
          <w:bCs/>
          <w:sz w:val="32"/>
          <w:szCs w:val="32"/>
        </w:rPr>
        <w:t>一、</w:t>
      </w:r>
      <w:r>
        <w:rPr>
          <w:rFonts w:ascii="黑体" w:hAnsi="黑体" w:eastAsia="黑体"/>
          <w:sz w:val="32"/>
          <w:szCs w:val="32"/>
        </w:rPr>
        <w:t>响应文件</w:t>
      </w:r>
      <w:r>
        <w:rPr>
          <w:rFonts w:ascii="黑体" w:hAnsi="黑体" w:eastAsia="黑体"/>
          <w:bCs/>
          <w:sz w:val="32"/>
          <w:szCs w:val="32"/>
        </w:rPr>
        <w:t>内容</w:t>
      </w:r>
    </w:p>
    <w:p>
      <w:pPr>
        <w:spacing w:line="560" w:lineRule="exact"/>
        <w:ind w:firstLine="640" w:firstLineChars="200"/>
        <w:rPr>
          <w:rFonts w:eastAsia="仿宋_GB2312"/>
          <w:sz w:val="32"/>
          <w:szCs w:val="32"/>
        </w:rPr>
      </w:pPr>
      <w:r>
        <w:rPr>
          <w:rFonts w:eastAsia="仿宋_GB2312"/>
          <w:sz w:val="32"/>
          <w:szCs w:val="32"/>
        </w:rPr>
        <w:t>注：以下文件均需投标人加盖公章确认。</w:t>
      </w:r>
    </w:p>
    <w:p>
      <w:pPr>
        <w:pStyle w:val="13"/>
        <w:numPr>
          <w:ilvl w:val="0"/>
          <w:numId w:val="4"/>
        </w:num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报价函</w:t>
      </w:r>
    </w:p>
    <w:p>
      <w:pPr>
        <w:pStyle w:val="13"/>
        <w:numPr>
          <w:ilvl w:val="0"/>
          <w:numId w:val="4"/>
        </w:num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报价表</w:t>
      </w:r>
    </w:p>
    <w:p>
      <w:pPr>
        <w:pStyle w:val="13"/>
        <w:numPr>
          <w:ilvl w:val="0"/>
          <w:numId w:val="4"/>
        </w:num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服务承诺书</w:t>
      </w:r>
    </w:p>
    <w:p>
      <w:pPr>
        <w:pStyle w:val="13"/>
        <w:numPr>
          <w:ilvl w:val="0"/>
          <w:numId w:val="4"/>
        </w:num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声明书</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5、资格证明文件</w:t>
      </w:r>
    </w:p>
    <w:p>
      <w:pPr>
        <w:spacing w:line="560" w:lineRule="exact"/>
        <w:ind w:firstLine="640" w:firstLineChars="200"/>
        <w:rPr>
          <w:rFonts w:eastAsia="仿宋_GB2312"/>
          <w:sz w:val="32"/>
          <w:szCs w:val="32"/>
        </w:rPr>
      </w:pPr>
      <w:r>
        <w:rPr>
          <w:rFonts w:eastAsia="仿宋_GB2312"/>
          <w:sz w:val="32"/>
          <w:szCs w:val="32"/>
        </w:rPr>
        <w:t>5.1、营业执照副本复印件</w:t>
      </w:r>
    </w:p>
    <w:p>
      <w:pPr>
        <w:spacing w:line="560" w:lineRule="exact"/>
        <w:ind w:firstLine="640" w:firstLineChars="200"/>
        <w:rPr>
          <w:rFonts w:eastAsia="仿宋_GB2312"/>
          <w:sz w:val="32"/>
          <w:szCs w:val="32"/>
        </w:rPr>
      </w:pPr>
      <w:r>
        <w:rPr>
          <w:rFonts w:eastAsia="仿宋_GB2312"/>
          <w:sz w:val="32"/>
          <w:szCs w:val="32"/>
        </w:rPr>
        <w:t>5.2、税务登记证副本复印件（三证合一除外）</w:t>
      </w:r>
    </w:p>
    <w:p>
      <w:pPr>
        <w:spacing w:line="560" w:lineRule="exact"/>
        <w:ind w:firstLine="640" w:firstLineChars="200"/>
        <w:rPr>
          <w:rFonts w:eastAsia="仿宋_GB2312"/>
          <w:sz w:val="32"/>
          <w:szCs w:val="32"/>
        </w:rPr>
      </w:pPr>
      <w:r>
        <w:rPr>
          <w:rFonts w:eastAsia="仿宋_GB2312"/>
          <w:sz w:val="32"/>
          <w:szCs w:val="32"/>
        </w:rPr>
        <w:t>5.3、法定代表人身份证复印件（正反面）（如有必须提供）</w:t>
      </w:r>
    </w:p>
    <w:p>
      <w:pPr>
        <w:spacing w:line="560" w:lineRule="exact"/>
        <w:ind w:firstLine="640" w:firstLineChars="200"/>
        <w:rPr>
          <w:rFonts w:eastAsia="仿宋_GB2312"/>
          <w:sz w:val="32"/>
          <w:szCs w:val="32"/>
        </w:rPr>
      </w:pPr>
      <w:r>
        <w:rPr>
          <w:rFonts w:eastAsia="仿宋_GB2312"/>
          <w:sz w:val="32"/>
          <w:szCs w:val="32"/>
        </w:rPr>
        <w:t>5.4、法定代表人身份证明书</w:t>
      </w:r>
    </w:p>
    <w:p>
      <w:pPr>
        <w:spacing w:line="560" w:lineRule="exact"/>
        <w:ind w:firstLine="640" w:firstLineChars="200"/>
        <w:rPr>
          <w:rFonts w:eastAsia="仿宋_GB2312"/>
          <w:sz w:val="32"/>
          <w:szCs w:val="32"/>
        </w:rPr>
      </w:pPr>
      <w:r>
        <w:rPr>
          <w:rFonts w:eastAsia="仿宋_GB2312"/>
          <w:sz w:val="32"/>
          <w:szCs w:val="32"/>
        </w:rPr>
        <w:t>5.5、法定代表人授权委托书（如有必须提供）和委托代理人身份证复印件（正反面）</w:t>
      </w:r>
    </w:p>
    <w:p>
      <w:pPr>
        <w:spacing w:line="560" w:lineRule="exact"/>
        <w:ind w:firstLine="640" w:firstLineChars="200"/>
        <w:rPr>
          <w:rFonts w:eastAsia="仿宋_GB2312"/>
          <w:sz w:val="32"/>
          <w:szCs w:val="32"/>
        </w:rPr>
      </w:pPr>
      <w:r>
        <w:rPr>
          <w:rFonts w:eastAsia="仿宋_GB2312"/>
          <w:sz w:val="32"/>
          <w:szCs w:val="32"/>
        </w:rPr>
        <w:t>6、报价人认为其他必须提供的文件资料。</w:t>
      </w:r>
    </w:p>
    <w:p>
      <w:pPr>
        <w:spacing w:line="560" w:lineRule="exact"/>
        <w:ind w:firstLine="640" w:firstLineChars="200"/>
        <w:outlineLvl w:val="1"/>
        <w:rPr>
          <w:rFonts w:hint="eastAsia" w:ascii="黑体" w:hAnsi="黑体" w:eastAsia="黑体"/>
          <w:bCs/>
          <w:sz w:val="32"/>
          <w:szCs w:val="32"/>
        </w:rPr>
      </w:pPr>
      <w:r>
        <w:rPr>
          <w:rFonts w:ascii="黑体" w:hAnsi="黑体" w:eastAsia="黑体"/>
          <w:bCs/>
          <w:sz w:val="32"/>
          <w:szCs w:val="32"/>
        </w:rPr>
        <w:t>二、报价</w:t>
      </w:r>
    </w:p>
    <w:p>
      <w:pPr>
        <w:spacing w:line="560" w:lineRule="exact"/>
        <w:ind w:firstLine="640" w:firstLineChars="200"/>
        <w:rPr>
          <w:rFonts w:eastAsia="仿宋_GB2312"/>
          <w:sz w:val="32"/>
          <w:szCs w:val="32"/>
          <w:u w:val="single"/>
        </w:rPr>
      </w:pPr>
      <w:r>
        <w:rPr>
          <w:rFonts w:eastAsia="仿宋_GB2312"/>
          <w:sz w:val="32"/>
          <w:szCs w:val="32"/>
        </w:rPr>
        <w:t>1、投标报价为含税价。</w:t>
      </w:r>
    </w:p>
    <w:p>
      <w:pPr>
        <w:spacing w:line="560" w:lineRule="exact"/>
        <w:ind w:firstLine="640" w:firstLineChars="200"/>
        <w:rPr>
          <w:rFonts w:eastAsia="仿宋_GB2312"/>
          <w:sz w:val="32"/>
          <w:szCs w:val="32"/>
        </w:rPr>
      </w:pPr>
      <w:r>
        <w:rPr>
          <w:rFonts w:eastAsia="仿宋_GB2312"/>
          <w:sz w:val="32"/>
          <w:szCs w:val="32"/>
        </w:rPr>
        <w:t>2、投标报价按《塑碗前包装装篮自动化设备采购采购（编号：SQ7HL-20250121）项目比选方案》第四章的格式要求。</w:t>
      </w:r>
    </w:p>
    <w:p>
      <w:pPr>
        <w:spacing w:line="560" w:lineRule="exact"/>
        <w:ind w:firstLine="640" w:firstLineChars="200"/>
        <w:outlineLvl w:val="1"/>
        <w:rPr>
          <w:rFonts w:hint="eastAsia" w:ascii="黑体" w:hAnsi="黑体" w:eastAsia="黑体"/>
          <w:bCs/>
          <w:sz w:val="32"/>
          <w:szCs w:val="32"/>
        </w:rPr>
      </w:pPr>
      <w:r>
        <w:rPr>
          <w:rFonts w:ascii="黑体" w:hAnsi="黑体" w:eastAsia="黑体"/>
          <w:bCs/>
          <w:sz w:val="32"/>
          <w:szCs w:val="32"/>
        </w:rPr>
        <w:t>三、响应文件的书写及签署规定</w:t>
      </w:r>
    </w:p>
    <w:p>
      <w:pPr>
        <w:spacing w:line="560" w:lineRule="exact"/>
        <w:ind w:firstLine="640" w:firstLineChars="200"/>
        <w:rPr>
          <w:rFonts w:eastAsia="仿宋_GB2312"/>
          <w:sz w:val="32"/>
          <w:szCs w:val="32"/>
        </w:rPr>
      </w:pPr>
      <w:r>
        <w:rPr>
          <w:rFonts w:eastAsia="仿宋_GB2312"/>
          <w:sz w:val="32"/>
          <w:szCs w:val="32"/>
        </w:rPr>
        <w:t>1、 响应文件的正本和所有副本须用不褪色的墨水书写或打印，装订成册，修改处应加盖公章。</w:t>
      </w:r>
    </w:p>
    <w:p>
      <w:pPr>
        <w:spacing w:line="560" w:lineRule="exact"/>
        <w:ind w:firstLine="640" w:firstLineChars="200"/>
        <w:rPr>
          <w:rFonts w:eastAsia="仿宋_GB2312"/>
          <w:sz w:val="32"/>
          <w:szCs w:val="32"/>
        </w:rPr>
      </w:pPr>
      <w:r>
        <w:rPr>
          <w:rFonts w:eastAsia="仿宋_GB2312"/>
          <w:sz w:val="32"/>
          <w:szCs w:val="32"/>
        </w:rPr>
        <w:t>2、 响应文件应由法定代表人或授权代表在所有规定签章处逐一签署及加盖单位的公章。</w:t>
      </w:r>
    </w:p>
    <w:p>
      <w:pPr>
        <w:spacing w:line="560" w:lineRule="exact"/>
        <w:ind w:firstLine="640" w:firstLineChars="200"/>
        <w:rPr>
          <w:rFonts w:eastAsia="仿宋_GB2312"/>
          <w:sz w:val="32"/>
          <w:szCs w:val="32"/>
        </w:rPr>
      </w:pPr>
      <w:r>
        <w:rPr>
          <w:rFonts w:eastAsia="仿宋_GB2312"/>
          <w:sz w:val="32"/>
          <w:szCs w:val="32"/>
        </w:rPr>
        <w:t>3、 投标人必须在每份响应文件上注明“正本”“副本”字样，一旦正本和副本不符，以正本为准。</w:t>
      </w:r>
    </w:p>
    <w:p>
      <w:pPr>
        <w:spacing w:line="560" w:lineRule="exact"/>
        <w:ind w:firstLine="640" w:firstLineChars="200"/>
        <w:rPr>
          <w:rFonts w:eastAsia="仿宋_GB2312"/>
          <w:sz w:val="32"/>
          <w:szCs w:val="32"/>
        </w:rPr>
      </w:pPr>
      <w:r>
        <w:rPr>
          <w:rFonts w:eastAsia="仿宋_GB2312"/>
          <w:sz w:val="32"/>
          <w:szCs w:val="32"/>
        </w:rPr>
        <w:t>4、</w:t>
      </w:r>
      <w:r>
        <w:rPr>
          <w:rFonts w:eastAsia="仿宋_GB2312"/>
          <w:kern w:val="0"/>
          <w:sz w:val="32"/>
          <w:szCs w:val="32"/>
        </w:rPr>
        <w:t>除投标人对错处做必要修改外，响应文件不得行间插字、涂改或增删，如有修改错漏处，必须由投标人法人代表或其授权代表签字和盖章。</w:t>
      </w:r>
    </w:p>
    <w:p>
      <w:pPr>
        <w:spacing w:line="560" w:lineRule="exact"/>
        <w:ind w:firstLine="640" w:firstLineChars="200"/>
        <w:outlineLvl w:val="1"/>
        <w:rPr>
          <w:rFonts w:hint="eastAsia" w:ascii="黑体" w:hAnsi="黑体" w:eastAsia="黑体"/>
          <w:bCs/>
          <w:sz w:val="32"/>
          <w:szCs w:val="32"/>
        </w:rPr>
      </w:pPr>
      <w:r>
        <w:rPr>
          <w:rFonts w:ascii="黑体" w:hAnsi="黑体" w:eastAsia="黑体"/>
          <w:bCs/>
          <w:sz w:val="32"/>
          <w:szCs w:val="32"/>
        </w:rPr>
        <w:t>四、响应文件的密封与标记</w:t>
      </w:r>
    </w:p>
    <w:p>
      <w:pPr>
        <w:spacing w:line="560" w:lineRule="exact"/>
        <w:ind w:firstLine="640" w:firstLineChars="200"/>
        <w:rPr>
          <w:rFonts w:eastAsia="仿宋_GB2312"/>
          <w:bCs/>
          <w:sz w:val="32"/>
          <w:szCs w:val="32"/>
        </w:rPr>
      </w:pPr>
      <w:r>
        <w:rPr>
          <w:rFonts w:eastAsia="仿宋_GB2312"/>
          <w:bCs/>
          <w:sz w:val="32"/>
          <w:szCs w:val="32"/>
        </w:rPr>
        <w:t>1、报价人将响应文件标明“正本”或“副本”后，将响应文件“正本”“副本”一并装入一个文件袋内加以密封并在每一封贴处加盖单位公章。</w:t>
      </w:r>
    </w:p>
    <w:p>
      <w:pPr>
        <w:spacing w:line="560" w:lineRule="exact"/>
        <w:ind w:firstLine="640" w:firstLineChars="200"/>
        <w:rPr>
          <w:rFonts w:eastAsia="仿宋_GB2312"/>
          <w:sz w:val="32"/>
          <w:szCs w:val="32"/>
        </w:rPr>
      </w:pPr>
      <w:r>
        <w:rPr>
          <w:rFonts w:eastAsia="仿宋_GB2312"/>
          <w:sz w:val="32"/>
          <w:szCs w:val="32"/>
        </w:rPr>
        <w:t>2、响应文件袋上应写明：</w:t>
      </w:r>
    </w:p>
    <w:p>
      <w:pPr>
        <w:spacing w:line="560" w:lineRule="exact"/>
        <w:ind w:firstLine="640" w:firstLineChars="200"/>
        <w:rPr>
          <w:rFonts w:eastAsia="仿宋_GB2312"/>
          <w:sz w:val="32"/>
          <w:szCs w:val="32"/>
        </w:rPr>
      </w:pPr>
      <w:r>
        <w:rPr>
          <w:rFonts w:eastAsia="仿宋_GB2312"/>
          <w:sz w:val="32"/>
          <w:szCs w:val="32"/>
        </w:rPr>
        <w:t>2.1、项目名称：广西双钱健康产业股份有限公司塑碗前包装装篮自动化设备采购（编号：SQ-202502）项目</w:t>
      </w:r>
    </w:p>
    <w:p>
      <w:pPr>
        <w:spacing w:line="560" w:lineRule="exact"/>
        <w:ind w:firstLine="640" w:firstLineChars="200"/>
        <w:rPr>
          <w:rFonts w:eastAsia="仿宋_GB2312"/>
          <w:sz w:val="32"/>
          <w:szCs w:val="32"/>
        </w:rPr>
      </w:pPr>
      <w:r>
        <w:rPr>
          <w:rFonts w:eastAsia="仿宋_GB2312"/>
          <w:sz w:val="32"/>
          <w:szCs w:val="32"/>
        </w:rPr>
        <w:t>2.2、报价单位：</w:t>
      </w:r>
      <w:r>
        <w:rPr>
          <w:rFonts w:eastAsia="仿宋_GB2312"/>
          <w:sz w:val="32"/>
          <w:szCs w:val="32"/>
          <w:u w:val="single"/>
        </w:rPr>
        <w:t xml:space="preserve">                 </w:t>
      </w:r>
      <w:r>
        <w:rPr>
          <w:rFonts w:eastAsia="仿宋_GB2312"/>
          <w:sz w:val="32"/>
          <w:szCs w:val="32"/>
        </w:rPr>
        <w:t xml:space="preserve">        </w:t>
      </w:r>
    </w:p>
    <w:sectPr>
      <w:footerReference r:id="rId8" w:type="default"/>
      <w:pgSz w:w="11906" w:h="16838"/>
      <w:pgMar w:top="2098" w:right="1474" w:bottom="1985" w:left="1588" w:header="851" w:footer="1418" w:gutter="0"/>
      <w:pgNumType w:fmt="numberInDash" w:start="1"/>
      <w:cols w:space="720" w:num="1"/>
      <w:docGrid w:type="lines" w:linePitch="33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金山简黑体">
    <w:altName w:val="汉仪中黑KW"/>
    <w:panose1 w:val="00000000000000000000"/>
    <w:charset w:val="86"/>
    <w:family w:val="modern"/>
    <w:pitch w:val="default"/>
    <w:sig w:usb0="00000000" w:usb1="00000000" w:usb2="00000010" w:usb3="00000000" w:csb0="00040000" w:csb1="00000000"/>
  </w:font>
  <w:font w:name="Cambria">
    <w:altName w:val="苹方-简"/>
    <w:panose1 w:val="02040503050406030204"/>
    <w:charset w:val="00"/>
    <w:family w:val="roman"/>
    <w:pitch w:val="default"/>
    <w:sig w:usb0="00000000" w:usb1="00000000" w:usb2="02000000" w:usb3="00000000" w:csb0="0000019F" w:csb1="00000000"/>
  </w:font>
  <w:font w:name="Tahoma">
    <w:panose1 w:val="020B0604030504040204"/>
    <w:charset w:val="00"/>
    <w:family w:val="swiss"/>
    <w:pitch w:val="default"/>
    <w:sig w:usb0="E1002A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Dutch">
    <w:altName w:val="苹方-简"/>
    <w:panose1 w:val="00000000000000000000"/>
    <w:charset w:val="00"/>
    <w:family w:val="roman"/>
    <w:pitch w:val="default"/>
    <w:sig w:usb0="00000000" w:usb1="00000000" w:usb2="00000000" w:usb3="00000000" w:csb0="00000001" w:csb1="00000000"/>
  </w:font>
  <w:font w:name="华康简魏碑">
    <w:altName w:val="苹方-简"/>
    <w:panose1 w:val="00000000000000000000"/>
    <w:charset w:val="86"/>
    <w:family w:val="modern"/>
    <w:pitch w:val="default"/>
    <w:sig w:usb0="00000000" w:usb1="00000000" w:usb2="00000010" w:usb3="00000000" w:csb0="00040000" w:csb1="00000000"/>
  </w:font>
  <w:font w:name="方正小标宋简体">
    <w:altName w:val="汉仪书宋二KW"/>
    <w:panose1 w:val="03000509000000000000"/>
    <w:charset w:val="86"/>
    <w:family w:val="script"/>
    <w:pitch w:val="default"/>
    <w:sig w:usb0="00000000" w:usb1="00000000" w:usb2="00000010" w:usb3="00000000" w:csb0="00040000" w:csb1="00000000"/>
  </w:font>
  <w:font w:name="Segoe UI Symbol">
    <w:altName w:val="苹方-简"/>
    <w:panose1 w:val="020B0502040204020203"/>
    <w:charset w:val="00"/>
    <w:family w:val="swiss"/>
    <w:pitch w:val="default"/>
    <w:sig w:usb0="00000000" w:usb1="00000000" w:usb2="00040000" w:usb3="00000000" w:csb0="00000001" w:csb1="00000000"/>
  </w:font>
  <w:font w:name="楷体_GB2312">
    <w:altName w:val="汉仪楷体简"/>
    <w:panose1 w:val="02010609030101010101"/>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2"/>
      </w:rPr>
    </w:pPr>
    <w:r>
      <w:fldChar w:fldCharType="begin"/>
    </w:r>
    <w:r>
      <w:rPr>
        <w:rStyle w:val="32"/>
      </w:rPr>
      <w:instrText xml:space="preserve">PAGE  </w:instrText>
    </w:r>
    <w:r>
      <w:fldChar w:fldCharType="separate"/>
    </w:r>
    <w:r>
      <w:rPr>
        <w:rStyle w:val="32"/>
      </w:rPr>
      <w:t>13</w:t>
    </w:r>
    <w:r>
      <w:fldChar w:fldCharType="end"/>
    </w:r>
  </w:p>
  <w:p>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17"/>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4496686"/>
      <w:docPartObj>
        <w:docPartGallery w:val="autotext"/>
      </w:docPartObj>
    </w:sdtPr>
    <w:sdtEndPr>
      <w:rPr>
        <w:rFonts w:ascii="宋体" w:hAnsi="宋体"/>
        <w:sz w:val="28"/>
        <w:szCs w:val="28"/>
      </w:rPr>
    </w:sdtEndPr>
    <w:sdtContent>
      <w:p>
        <w:pPr>
          <w:pStyle w:val="17"/>
          <w:jc w:val="right"/>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tabs>
        <w:tab w:val="center" w:pos="0"/>
        <w:tab w:val="clear" w:pos="4153"/>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78"/>
      <w:lvlText w:val=""/>
      <w:lvlJc w:val="left"/>
      <w:pPr>
        <w:tabs>
          <w:tab w:val="left" w:pos="-9"/>
        </w:tabs>
        <w:ind w:left="-9" w:hanging="360"/>
      </w:pPr>
      <w:rPr>
        <w:rFonts w:hint="default" w:ascii="Wingdings" w:hAnsi="Wingdings"/>
      </w:rPr>
    </w:lvl>
  </w:abstractNum>
  <w:abstractNum w:abstractNumId="1">
    <w:nsid w:val="109E3DAE"/>
    <w:multiLevelType w:val="multilevel"/>
    <w:tmpl w:val="109E3DAE"/>
    <w:lvl w:ilvl="0" w:tentative="0">
      <w:start w:val="3"/>
      <w:numFmt w:val="decimal"/>
      <w:lvlText w:val="%1."/>
      <w:lvlJc w:val="left"/>
      <w:pPr>
        <w:ind w:left="425" w:hanging="425"/>
      </w:pPr>
      <w:rPr>
        <w:rFonts w:hint="eastAsia"/>
      </w:rPr>
    </w:lvl>
    <w:lvl w:ilvl="1" w:tentative="0">
      <w:start w:val="1"/>
      <w:numFmt w:val="decimal"/>
      <w:suff w:val="nothing"/>
      <w:lvlText w:val="%1.%2"/>
      <w:lvlJc w:val="left"/>
      <w:pPr>
        <w:ind w:left="0" w:firstLine="0"/>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375C0266"/>
    <w:multiLevelType w:val="multilevel"/>
    <w:tmpl w:val="375C0266"/>
    <w:lvl w:ilvl="0" w:tentative="0">
      <w:start w:val="1"/>
      <w:numFmt w:val="decimal"/>
      <w:suff w:val="nothing"/>
      <w:lvlText w:val="%1."/>
      <w:lvlJc w:val="left"/>
      <w:pPr>
        <w:ind w:left="0" w:firstLine="510"/>
      </w:pPr>
      <w:rPr>
        <w:rFonts w:hint="eastAsia" w:ascii="黑体" w:eastAsia="黑体"/>
        <w:b/>
        <w:sz w:val="28"/>
        <w:szCs w:val="28"/>
      </w:rPr>
    </w:lvl>
    <w:lvl w:ilvl="1" w:tentative="0">
      <w:start w:val="1"/>
      <w:numFmt w:val="decimal"/>
      <w:suff w:val="nothing"/>
      <w:lvlText w:val="%1.%2 "/>
      <w:lvlJc w:val="left"/>
      <w:pPr>
        <w:ind w:left="0" w:firstLine="510"/>
      </w:pPr>
      <w:rPr>
        <w:rFonts w:hint="eastAsia" w:ascii="楷体_GB2312" w:eastAsia="楷体_GB2312"/>
        <w:b/>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
    <w:nsid w:val="5BF0331E"/>
    <w:multiLevelType w:val="singleLevel"/>
    <w:tmpl w:val="5BF0331E"/>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331"/>
  <w:displayHorizontalDrawingGridEvery w:val="2"/>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lOTVkZTBkN2RkMzQ3MzM2ZDE1OTVkMjRjYmJiODEifQ=="/>
  </w:docVars>
  <w:rsids>
    <w:rsidRoot w:val="00172A27"/>
    <w:rsid w:val="0000018D"/>
    <w:rsid w:val="000004C6"/>
    <w:rsid w:val="000024B3"/>
    <w:rsid w:val="00002DFE"/>
    <w:rsid w:val="000032A0"/>
    <w:rsid w:val="00005D03"/>
    <w:rsid w:val="000063CE"/>
    <w:rsid w:val="00007F46"/>
    <w:rsid w:val="000101DB"/>
    <w:rsid w:val="00010B94"/>
    <w:rsid w:val="00012A88"/>
    <w:rsid w:val="00012D92"/>
    <w:rsid w:val="0001587E"/>
    <w:rsid w:val="0001795A"/>
    <w:rsid w:val="00017E87"/>
    <w:rsid w:val="00020E98"/>
    <w:rsid w:val="00021AB6"/>
    <w:rsid w:val="000223D4"/>
    <w:rsid w:val="00022A8B"/>
    <w:rsid w:val="00022CEF"/>
    <w:rsid w:val="00023257"/>
    <w:rsid w:val="00023890"/>
    <w:rsid w:val="00025312"/>
    <w:rsid w:val="000262D5"/>
    <w:rsid w:val="000264A3"/>
    <w:rsid w:val="00026A1C"/>
    <w:rsid w:val="00026D67"/>
    <w:rsid w:val="00027219"/>
    <w:rsid w:val="00027DB0"/>
    <w:rsid w:val="00027F18"/>
    <w:rsid w:val="00031CC2"/>
    <w:rsid w:val="0003289C"/>
    <w:rsid w:val="00032A9A"/>
    <w:rsid w:val="00032B3C"/>
    <w:rsid w:val="00033223"/>
    <w:rsid w:val="000351EA"/>
    <w:rsid w:val="00035299"/>
    <w:rsid w:val="00035429"/>
    <w:rsid w:val="00037635"/>
    <w:rsid w:val="00037BEA"/>
    <w:rsid w:val="0004011B"/>
    <w:rsid w:val="0004063A"/>
    <w:rsid w:val="0004103E"/>
    <w:rsid w:val="0004146C"/>
    <w:rsid w:val="00042879"/>
    <w:rsid w:val="00042D6C"/>
    <w:rsid w:val="0004319C"/>
    <w:rsid w:val="000437E9"/>
    <w:rsid w:val="00044B38"/>
    <w:rsid w:val="000450D9"/>
    <w:rsid w:val="000453BE"/>
    <w:rsid w:val="000460C3"/>
    <w:rsid w:val="00047469"/>
    <w:rsid w:val="00047702"/>
    <w:rsid w:val="0005172A"/>
    <w:rsid w:val="00051EEB"/>
    <w:rsid w:val="00052223"/>
    <w:rsid w:val="00053534"/>
    <w:rsid w:val="0005392D"/>
    <w:rsid w:val="00053AFF"/>
    <w:rsid w:val="000548CF"/>
    <w:rsid w:val="00055275"/>
    <w:rsid w:val="000559CB"/>
    <w:rsid w:val="00055CC5"/>
    <w:rsid w:val="000565EA"/>
    <w:rsid w:val="0005723E"/>
    <w:rsid w:val="000576D6"/>
    <w:rsid w:val="00060C30"/>
    <w:rsid w:val="00060C6D"/>
    <w:rsid w:val="0006125A"/>
    <w:rsid w:val="00061670"/>
    <w:rsid w:val="00062015"/>
    <w:rsid w:val="0006224B"/>
    <w:rsid w:val="00062389"/>
    <w:rsid w:val="000624A6"/>
    <w:rsid w:val="00062FF3"/>
    <w:rsid w:val="00063A7F"/>
    <w:rsid w:val="000645A4"/>
    <w:rsid w:val="00064687"/>
    <w:rsid w:val="0006567D"/>
    <w:rsid w:val="00065E41"/>
    <w:rsid w:val="0006669F"/>
    <w:rsid w:val="000676ED"/>
    <w:rsid w:val="00067E52"/>
    <w:rsid w:val="000702E0"/>
    <w:rsid w:val="00070B43"/>
    <w:rsid w:val="00071167"/>
    <w:rsid w:val="000719F4"/>
    <w:rsid w:val="00072D02"/>
    <w:rsid w:val="00073B31"/>
    <w:rsid w:val="00073D3F"/>
    <w:rsid w:val="0007553D"/>
    <w:rsid w:val="0007579D"/>
    <w:rsid w:val="00077CD1"/>
    <w:rsid w:val="00080FB7"/>
    <w:rsid w:val="00081390"/>
    <w:rsid w:val="000816EF"/>
    <w:rsid w:val="00082875"/>
    <w:rsid w:val="00083377"/>
    <w:rsid w:val="000874E4"/>
    <w:rsid w:val="0009032F"/>
    <w:rsid w:val="00090DB5"/>
    <w:rsid w:val="000911B5"/>
    <w:rsid w:val="00091ED5"/>
    <w:rsid w:val="000929E4"/>
    <w:rsid w:val="0009447D"/>
    <w:rsid w:val="000948FA"/>
    <w:rsid w:val="00094E6F"/>
    <w:rsid w:val="000954C3"/>
    <w:rsid w:val="000963D1"/>
    <w:rsid w:val="0009656D"/>
    <w:rsid w:val="00096DD9"/>
    <w:rsid w:val="00097415"/>
    <w:rsid w:val="000A232D"/>
    <w:rsid w:val="000A2DD7"/>
    <w:rsid w:val="000A33CA"/>
    <w:rsid w:val="000A41F6"/>
    <w:rsid w:val="000A46C1"/>
    <w:rsid w:val="000A4D10"/>
    <w:rsid w:val="000A5E58"/>
    <w:rsid w:val="000A698D"/>
    <w:rsid w:val="000A78B4"/>
    <w:rsid w:val="000A7FE5"/>
    <w:rsid w:val="000B020B"/>
    <w:rsid w:val="000B05B9"/>
    <w:rsid w:val="000B1C5D"/>
    <w:rsid w:val="000B2349"/>
    <w:rsid w:val="000B2D68"/>
    <w:rsid w:val="000B3535"/>
    <w:rsid w:val="000B3CA6"/>
    <w:rsid w:val="000B413E"/>
    <w:rsid w:val="000B4529"/>
    <w:rsid w:val="000B4F6D"/>
    <w:rsid w:val="000B5537"/>
    <w:rsid w:val="000B5F7A"/>
    <w:rsid w:val="000B696D"/>
    <w:rsid w:val="000B73A2"/>
    <w:rsid w:val="000C0CAC"/>
    <w:rsid w:val="000C13EC"/>
    <w:rsid w:val="000C141A"/>
    <w:rsid w:val="000C2C8A"/>
    <w:rsid w:val="000C2ECC"/>
    <w:rsid w:val="000C38D3"/>
    <w:rsid w:val="000C3D56"/>
    <w:rsid w:val="000C3EF8"/>
    <w:rsid w:val="000C420D"/>
    <w:rsid w:val="000C5337"/>
    <w:rsid w:val="000C57CA"/>
    <w:rsid w:val="000D26CE"/>
    <w:rsid w:val="000D2B40"/>
    <w:rsid w:val="000D2BFC"/>
    <w:rsid w:val="000D32B1"/>
    <w:rsid w:val="000D45A8"/>
    <w:rsid w:val="000D56CB"/>
    <w:rsid w:val="000D5F86"/>
    <w:rsid w:val="000E0B96"/>
    <w:rsid w:val="000E0D40"/>
    <w:rsid w:val="000E1D5E"/>
    <w:rsid w:val="000E2381"/>
    <w:rsid w:val="000E305D"/>
    <w:rsid w:val="000E3DD4"/>
    <w:rsid w:val="000E7FEB"/>
    <w:rsid w:val="000F04CA"/>
    <w:rsid w:val="000F072B"/>
    <w:rsid w:val="000F0F2F"/>
    <w:rsid w:val="000F1121"/>
    <w:rsid w:val="000F1B73"/>
    <w:rsid w:val="000F29C5"/>
    <w:rsid w:val="000F2E9B"/>
    <w:rsid w:val="000F2F07"/>
    <w:rsid w:val="000F4770"/>
    <w:rsid w:val="000F788E"/>
    <w:rsid w:val="001014B3"/>
    <w:rsid w:val="001038BF"/>
    <w:rsid w:val="001107F7"/>
    <w:rsid w:val="00110A48"/>
    <w:rsid w:val="00113B89"/>
    <w:rsid w:val="001141C2"/>
    <w:rsid w:val="001144B5"/>
    <w:rsid w:val="00115ACD"/>
    <w:rsid w:val="00115F3B"/>
    <w:rsid w:val="00116BAB"/>
    <w:rsid w:val="00116F77"/>
    <w:rsid w:val="0011762B"/>
    <w:rsid w:val="00117941"/>
    <w:rsid w:val="001201A2"/>
    <w:rsid w:val="00120585"/>
    <w:rsid w:val="001211BA"/>
    <w:rsid w:val="0012153E"/>
    <w:rsid w:val="00122B46"/>
    <w:rsid w:val="001235FB"/>
    <w:rsid w:val="00124C95"/>
    <w:rsid w:val="00124D58"/>
    <w:rsid w:val="00125368"/>
    <w:rsid w:val="001263BA"/>
    <w:rsid w:val="00126FE5"/>
    <w:rsid w:val="001307A8"/>
    <w:rsid w:val="001311B3"/>
    <w:rsid w:val="00132DB9"/>
    <w:rsid w:val="00133337"/>
    <w:rsid w:val="00134470"/>
    <w:rsid w:val="00135D45"/>
    <w:rsid w:val="00135EFE"/>
    <w:rsid w:val="00135F66"/>
    <w:rsid w:val="001362C4"/>
    <w:rsid w:val="00140143"/>
    <w:rsid w:val="00140763"/>
    <w:rsid w:val="00140F20"/>
    <w:rsid w:val="00141335"/>
    <w:rsid w:val="001416E8"/>
    <w:rsid w:val="00141D65"/>
    <w:rsid w:val="00141E6D"/>
    <w:rsid w:val="0014245F"/>
    <w:rsid w:val="00142847"/>
    <w:rsid w:val="00144901"/>
    <w:rsid w:val="00144C57"/>
    <w:rsid w:val="001469CA"/>
    <w:rsid w:val="00146B82"/>
    <w:rsid w:val="001471F2"/>
    <w:rsid w:val="00150DF7"/>
    <w:rsid w:val="001510D1"/>
    <w:rsid w:val="001516C3"/>
    <w:rsid w:val="00152C62"/>
    <w:rsid w:val="00152D96"/>
    <w:rsid w:val="0015313F"/>
    <w:rsid w:val="0015455A"/>
    <w:rsid w:val="00155066"/>
    <w:rsid w:val="00155376"/>
    <w:rsid w:val="00156396"/>
    <w:rsid w:val="00156595"/>
    <w:rsid w:val="001570D0"/>
    <w:rsid w:val="00157924"/>
    <w:rsid w:val="001602B0"/>
    <w:rsid w:val="00160A08"/>
    <w:rsid w:val="00161DFE"/>
    <w:rsid w:val="00162566"/>
    <w:rsid w:val="001629F9"/>
    <w:rsid w:val="0016306F"/>
    <w:rsid w:val="00163DC1"/>
    <w:rsid w:val="001645D1"/>
    <w:rsid w:val="00164F7E"/>
    <w:rsid w:val="00165530"/>
    <w:rsid w:val="00165878"/>
    <w:rsid w:val="00166373"/>
    <w:rsid w:val="001669A7"/>
    <w:rsid w:val="00167E54"/>
    <w:rsid w:val="001703AE"/>
    <w:rsid w:val="00170657"/>
    <w:rsid w:val="00171C74"/>
    <w:rsid w:val="00171D21"/>
    <w:rsid w:val="00171EC2"/>
    <w:rsid w:val="00172256"/>
    <w:rsid w:val="00172A27"/>
    <w:rsid w:val="00173201"/>
    <w:rsid w:val="0017413F"/>
    <w:rsid w:val="001754A7"/>
    <w:rsid w:val="00176453"/>
    <w:rsid w:val="00177662"/>
    <w:rsid w:val="0018009F"/>
    <w:rsid w:val="001804AD"/>
    <w:rsid w:val="001816E3"/>
    <w:rsid w:val="00181F0A"/>
    <w:rsid w:val="00182119"/>
    <w:rsid w:val="001831B4"/>
    <w:rsid w:val="001835A1"/>
    <w:rsid w:val="001838AF"/>
    <w:rsid w:val="00183AEB"/>
    <w:rsid w:val="00186CE3"/>
    <w:rsid w:val="00187C2D"/>
    <w:rsid w:val="00190456"/>
    <w:rsid w:val="00190852"/>
    <w:rsid w:val="00190F89"/>
    <w:rsid w:val="00192145"/>
    <w:rsid w:val="001936E9"/>
    <w:rsid w:val="00195525"/>
    <w:rsid w:val="0019580C"/>
    <w:rsid w:val="0019638D"/>
    <w:rsid w:val="00196405"/>
    <w:rsid w:val="00196440"/>
    <w:rsid w:val="00196CD3"/>
    <w:rsid w:val="001A0305"/>
    <w:rsid w:val="001A2AF4"/>
    <w:rsid w:val="001A2B0E"/>
    <w:rsid w:val="001A3809"/>
    <w:rsid w:val="001A4DFB"/>
    <w:rsid w:val="001A730C"/>
    <w:rsid w:val="001A7793"/>
    <w:rsid w:val="001A7DAC"/>
    <w:rsid w:val="001B05FD"/>
    <w:rsid w:val="001B0698"/>
    <w:rsid w:val="001B075E"/>
    <w:rsid w:val="001B0D86"/>
    <w:rsid w:val="001B2088"/>
    <w:rsid w:val="001B2486"/>
    <w:rsid w:val="001B27AA"/>
    <w:rsid w:val="001B2963"/>
    <w:rsid w:val="001B31A8"/>
    <w:rsid w:val="001B353D"/>
    <w:rsid w:val="001B4240"/>
    <w:rsid w:val="001B491B"/>
    <w:rsid w:val="001C00E9"/>
    <w:rsid w:val="001C0C89"/>
    <w:rsid w:val="001C155B"/>
    <w:rsid w:val="001C15EA"/>
    <w:rsid w:val="001C1789"/>
    <w:rsid w:val="001C1DFF"/>
    <w:rsid w:val="001C2DE2"/>
    <w:rsid w:val="001C46CE"/>
    <w:rsid w:val="001C5864"/>
    <w:rsid w:val="001C5F42"/>
    <w:rsid w:val="001C60E8"/>
    <w:rsid w:val="001C7716"/>
    <w:rsid w:val="001D0633"/>
    <w:rsid w:val="001D34F8"/>
    <w:rsid w:val="001D4546"/>
    <w:rsid w:val="001D4CC4"/>
    <w:rsid w:val="001D4D59"/>
    <w:rsid w:val="001D5B5B"/>
    <w:rsid w:val="001E0AF7"/>
    <w:rsid w:val="001E0E8A"/>
    <w:rsid w:val="001E12DF"/>
    <w:rsid w:val="001E1667"/>
    <w:rsid w:val="001E17B0"/>
    <w:rsid w:val="001E1B3E"/>
    <w:rsid w:val="001E23C5"/>
    <w:rsid w:val="001E423D"/>
    <w:rsid w:val="001E4437"/>
    <w:rsid w:val="001E5AEF"/>
    <w:rsid w:val="001E68BD"/>
    <w:rsid w:val="001F0697"/>
    <w:rsid w:val="001F09C1"/>
    <w:rsid w:val="001F0D55"/>
    <w:rsid w:val="001F0ECA"/>
    <w:rsid w:val="001F1DE3"/>
    <w:rsid w:val="001F225A"/>
    <w:rsid w:val="001F227A"/>
    <w:rsid w:val="001F32B8"/>
    <w:rsid w:val="001F46E0"/>
    <w:rsid w:val="001F5579"/>
    <w:rsid w:val="001F79CF"/>
    <w:rsid w:val="00200261"/>
    <w:rsid w:val="002014C4"/>
    <w:rsid w:val="00201F42"/>
    <w:rsid w:val="0020220D"/>
    <w:rsid w:val="002033AC"/>
    <w:rsid w:val="0020378D"/>
    <w:rsid w:val="00206635"/>
    <w:rsid w:val="00206AC7"/>
    <w:rsid w:val="002123D9"/>
    <w:rsid w:val="00213B34"/>
    <w:rsid w:val="00213C7F"/>
    <w:rsid w:val="00214F53"/>
    <w:rsid w:val="002166A1"/>
    <w:rsid w:val="00220131"/>
    <w:rsid w:val="00222315"/>
    <w:rsid w:val="00222C10"/>
    <w:rsid w:val="00222D80"/>
    <w:rsid w:val="00223EFA"/>
    <w:rsid w:val="00223FD0"/>
    <w:rsid w:val="002242D1"/>
    <w:rsid w:val="00225708"/>
    <w:rsid w:val="00225A75"/>
    <w:rsid w:val="002316B8"/>
    <w:rsid w:val="00232580"/>
    <w:rsid w:val="00233005"/>
    <w:rsid w:val="00234C84"/>
    <w:rsid w:val="00234EA1"/>
    <w:rsid w:val="002357CC"/>
    <w:rsid w:val="00235D04"/>
    <w:rsid w:val="00236046"/>
    <w:rsid w:val="002367BD"/>
    <w:rsid w:val="002375CA"/>
    <w:rsid w:val="00241081"/>
    <w:rsid w:val="00241351"/>
    <w:rsid w:val="00241F1B"/>
    <w:rsid w:val="00243FF3"/>
    <w:rsid w:val="00245966"/>
    <w:rsid w:val="00247462"/>
    <w:rsid w:val="00247BB2"/>
    <w:rsid w:val="002505BF"/>
    <w:rsid w:val="00251CEE"/>
    <w:rsid w:val="00252108"/>
    <w:rsid w:val="00252CDE"/>
    <w:rsid w:val="00252F54"/>
    <w:rsid w:val="00253F18"/>
    <w:rsid w:val="002541B3"/>
    <w:rsid w:val="00254A0B"/>
    <w:rsid w:val="00255A27"/>
    <w:rsid w:val="00256919"/>
    <w:rsid w:val="00256BC0"/>
    <w:rsid w:val="002575BF"/>
    <w:rsid w:val="00257D12"/>
    <w:rsid w:val="002600E9"/>
    <w:rsid w:val="00260714"/>
    <w:rsid w:val="00261273"/>
    <w:rsid w:val="0026204A"/>
    <w:rsid w:val="002620D5"/>
    <w:rsid w:val="00262192"/>
    <w:rsid w:val="002622B9"/>
    <w:rsid w:val="002622FF"/>
    <w:rsid w:val="0026235F"/>
    <w:rsid w:val="0026252E"/>
    <w:rsid w:val="00262D17"/>
    <w:rsid w:val="00263E95"/>
    <w:rsid w:val="00263EBA"/>
    <w:rsid w:val="00263F8A"/>
    <w:rsid w:val="002645C6"/>
    <w:rsid w:val="00265412"/>
    <w:rsid w:val="00265932"/>
    <w:rsid w:val="0026593A"/>
    <w:rsid w:val="00265E3D"/>
    <w:rsid w:val="002662F5"/>
    <w:rsid w:val="00266CB8"/>
    <w:rsid w:val="002670BA"/>
    <w:rsid w:val="00267A02"/>
    <w:rsid w:val="0027066B"/>
    <w:rsid w:val="002713DE"/>
    <w:rsid w:val="00271BE2"/>
    <w:rsid w:val="00271EEE"/>
    <w:rsid w:val="0027359A"/>
    <w:rsid w:val="00274264"/>
    <w:rsid w:val="00274915"/>
    <w:rsid w:val="00274931"/>
    <w:rsid w:val="002750E4"/>
    <w:rsid w:val="002752BF"/>
    <w:rsid w:val="00275C14"/>
    <w:rsid w:val="0027678A"/>
    <w:rsid w:val="002769EB"/>
    <w:rsid w:val="00276A19"/>
    <w:rsid w:val="00276D6C"/>
    <w:rsid w:val="00276E00"/>
    <w:rsid w:val="00277A10"/>
    <w:rsid w:val="002804E0"/>
    <w:rsid w:val="002813A8"/>
    <w:rsid w:val="002820ED"/>
    <w:rsid w:val="00282E57"/>
    <w:rsid w:val="00283148"/>
    <w:rsid w:val="00283817"/>
    <w:rsid w:val="002838FC"/>
    <w:rsid w:val="0028572B"/>
    <w:rsid w:val="002867C3"/>
    <w:rsid w:val="002876C2"/>
    <w:rsid w:val="002877A9"/>
    <w:rsid w:val="0029107F"/>
    <w:rsid w:val="002925E9"/>
    <w:rsid w:val="00292BAE"/>
    <w:rsid w:val="002932BA"/>
    <w:rsid w:val="00293A32"/>
    <w:rsid w:val="00294E2B"/>
    <w:rsid w:val="00296D24"/>
    <w:rsid w:val="0029723E"/>
    <w:rsid w:val="002975D9"/>
    <w:rsid w:val="0029775F"/>
    <w:rsid w:val="00297C67"/>
    <w:rsid w:val="00297DD8"/>
    <w:rsid w:val="00297DFB"/>
    <w:rsid w:val="002A2818"/>
    <w:rsid w:val="002A4707"/>
    <w:rsid w:val="002A4ECE"/>
    <w:rsid w:val="002A53B6"/>
    <w:rsid w:val="002A63AF"/>
    <w:rsid w:val="002B1C01"/>
    <w:rsid w:val="002B1E0F"/>
    <w:rsid w:val="002B294B"/>
    <w:rsid w:val="002B37B2"/>
    <w:rsid w:val="002B384D"/>
    <w:rsid w:val="002B414D"/>
    <w:rsid w:val="002B60D6"/>
    <w:rsid w:val="002B6B8E"/>
    <w:rsid w:val="002B798F"/>
    <w:rsid w:val="002C0283"/>
    <w:rsid w:val="002C08B2"/>
    <w:rsid w:val="002C1F1A"/>
    <w:rsid w:val="002C33CF"/>
    <w:rsid w:val="002C6324"/>
    <w:rsid w:val="002C6385"/>
    <w:rsid w:val="002C6A07"/>
    <w:rsid w:val="002D0A1E"/>
    <w:rsid w:val="002D0BB7"/>
    <w:rsid w:val="002D13DD"/>
    <w:rsid w:val="002D1BAF"/>
    <w:rsid w:val="002D2775"/>
    <w:rsid w:val="002D2CB0"/>
    <w:rsid w:val="002D3364"/>
    <w:rsid w:val="002D3438"/>
    <w:rsid w:val="002D363F"/>
    <w:rsid w:val="002D3F4E"/>
    <w:rsid w:val="002D409E"/>
    <w:rsid w:val="002D4871"/>
    <w:rsid w:val="002D4A91"/>
    <w:rsid w:val="002D4B89"/>
    <w:rsid w:val="002D54AD"/>
    <w:rsid w:val="002D5A9A"/>
    <w:rsid w:val="002D6EA7"/>
    <w:rsid w:val="002E02CC"/>
    <w:rsid w:val="002E09CC"/>
    <w:rsid w:val="002E0F20"/>
    <w:rsid w:val="002E2BC7"/>
    <w:rsid w:val="002E30FC"/>
    <w:rsid w:val="002E37D8"/>
    <w:rsid w:val="002E5A6D"/>
    <w:rsid w:val="002E64C5"/>
    <w:rsid w:val="002E7160"/>
    <w:rsid w:val="002E7384"/>
    <w:rsid w:val="002E7900"/>
    <w:rsid w:val="002F0763"/>
    <w:rsid w:val="002F3F27"/>
    <w:rsid w:val="002F465D"/>
    <w:rsid w:val="002F4A2B"/>
    <w:rsid w:val="002F4B5F"/>
    <w:rsid w:val="002F678C"/>
    <w:rsid w:val="002F6B58"/>
    <w:rsid w:val="002F6CFA"/>
    <w:rsid w:val="002F7811"/>
    <w:rsid w:val="003008A7"/>
    <w:rsid w:val="00301926"/>
    <w:rsid w:val="003025CE"/>
    <w:rsid w:val="0030351B"/>
    <w:rsid w:val="0030368F"/>
    <w:rsid w:val="00303D93"/>
    <w:rsid w:val="0030426C"/>
    <w:rsid w:val="00305D6F"/>
    <w:rsid w:val="00305E4F"/>
    <w:rsid w:val="0030677B"/>
    <w:rsid w:val="00306824"/>
    <w:rsid w:val="003069F3"/>
    <w:rsid w:val="003074B8"/>
    <w:rsid w:val="00307EC5"/>
    <w:rsid w:val="00310CBA"/>
    <w:rsid w:val="00311279"/>
    <w:rsid w:val="00311675"/>
    <w:rsid w:val="00312481"/>
    <w:rsid w:val="0031336E"/>
    <w:rsid w:val="003135E7"/>
    <w:rsid w:val="00315102"/>
    <w:rsid w:val="00315260"/>
    <w:rsid w:val="00316D17"/>
    <w:rsid w:val="00317284"/>
    <w:rsid w:val="0032172C"/>
    <w:rsid w:val="003224B8"/>
    <w:rsid w:val="00322973"/>
    <w:rsid w:val="00323BA6"/>
    <w:rsid w:val="003240FA"/>
    <w:rsid w:val="003244D4"/>
    <w:rsid w:val="00324F48"/>
    <w:rsid w:val="00325A3E"/>
    <w:rsid w:val="00325AB3"/>
    <w:rsid w:val="00330B1C"/>
    <w:rsid w:val="00330C0C"/>
    <w:rsid w:val="003318B6"/>
    <w:rsid w:val="00331DC8"/>
    <w:rsid w:val="0033279C"/>
    <w:rsid w:val="00332EDD"/>
    <w:rsid w:val="00333912"/>
    <w:rsid w:val="0033500D"/>
    <w:rsid w:val="00335A8D"/>
    <w:rsid w:val="00336CCF"/>
    <w:rsid w:val="00337E8C"/>
    <w:rsid w:val="003415C5"/>
    <w:rsid w:val="00343125"/>
    <w:rsid w:val="00344471"/>
    <w:rsid w:val="00344592"/>
    <w:rsid w:val="00344B2A"/>
    <w:rsid w:val="003463F2"/>
    <w:rsid w:val="0034753D"/>
    <w:rsid w:val="00352F02"/>
    <w:rsid w:val="0035376B"/>
    <w:rsid w:val="003538F1"/>
    <w:rsid w:val="0035500E"/>
    <w:rsid w:val="00355277"/>
    <w:rsid w:val="00355677"/>
    <w:rsid w:val="00355E1A"/>
    <w:rsid w:val="00357054"/>
    <w:rsid w:val="00357297"/>
    <w:rsid w:val="003609AF"/>
    <w:rsid w:val="003623AE"/>
    <w:rsid w:val="00363555"/>
    <w:rsid w:val="00363F35"/>
    <w:rsid w:val="00364943"/>
    <w:rsid w:val="00365E4E"/>
    <w:rsid w:val="00366486"/>
    <w:rsid w:val="003668D7"/>
    <w:rsid w:val="00366B47"/>
    <w:rsid w:val="003670F7"/>
    <w:rsid w:val="00367890"/>
    <w:rsid w:val="0037000D"/>
    <w:rsid w:val="00370D7D"/>
    <w:rsid w:val="003714FE"/>
    <w:rsid w:val="003718AF"/>
    <w:rsid w:val="00371A3B"/>
    <w:rsid w:val="00371BDA"/>
    <w:rsid w:val="00373216"/>
    <w:rsid w:val="00373950"/>
    <w:rsid w:val="00374B40"/>
    <w:rsid w:val="00376903"/>
    <w:rsid w:val="00380B85"/>
    <w:rsid w:val="00381D31"/>
    <w:rsid w:val="00382A8A"/>
    <w:rsid w:val="00382E8C"/>
    <w:rsid w:val="003830DA"/>
    <w:rsid w:val="00383343"/>
    <w:rsid w:val="003840BE"/>
    <w:rsid w:val="0038594D"/>
    <w:rsid w:val="00385DBE"/>
    <w:rsid w:val="0038603B"/>
    <w:rsid w:val="00386912"/>
    <w:rsid w:val="003875CA"/>
    <w:rsid w:val="00387761"/>
    <w:rsid w:val="00387F5A"/>
    <w:rsid w:val="00390130"/>
    <w:rsid w:val="0039022D"/>
    <w:rsid w:val="00391BBF"/>
    <w:rsid w:val="003921C5"/>
    <w:rsid w:val="00392BB6"/>
    <w:rsid w:val="003943E0"/>
    <w:rsid w:val="00396AA8"/>
    <w:rsid w:val="00397FB5"/>
    <w:rsid w:val="003A10A8"/>
    <w:rsid w:val="003A2027"/>
    <w:rsid w:val="003A385A"/>
    <w:rsid w:val="003A46F7"/>
    <w:rsid w:val="003A5649"/>
    <w:rsid w:val="003A57B4"/>
    <w:rsid w:val="003A5874"/>
    <w:rsid w:val="003A641E"/>
    <w:rsid w:val="003A682A"/>
    <w:rsid w:val="003A6BDD"/>
    <w:rsid w:val="003A727A"/>
    <w:rsid w:val="003B0372"/>
    <w:rsid w:val="003B0E73"/>
    <w:rsid w:val="003B0FAB"/>
    <w:rsid w:val="003B11A1"/>
    <w:rsid w:val="003B2A22"/>
    <w:rsid w:val="003B421B"/>
    <w:rsid w:val="003B46D9"/>
    <w:rsid w:val="003B7675"/>
    <w:rsid w:val="003C0F17"/>
    <w:rsid w:val="003C13E1"/>
    <w:rsid w:val="003C2FB0"/>
    <w:rsid w:val="003C48AB"/>
    <w:rsid w:val="003D009C"/>
    <w:rsid w:val="003D2DEA"/>
    <w:rsid w:val="003D31BA"/>
    <w:rsid w:val="003D52BF"/>
    <w:rsid w:val="003E02E8"/>
    <w:rsid w:val="003E1568"/>
    <w:rsid w:val="003E1A2F"/>
    <w:rsid w:val="003E21D9"/>
    <w:rsid w:val="003E2BA4"/>
    <w:rsid w:val="003E3314"/>
    <w:rsid w:val="003E3C54"/>
    <w:rsid w:val="003E46E0"/>
    <w:rsid w:val="003E4DAC"/>
    <w:rsid w:val="003E69C9"/>
    <w:rsid w:val="003E7883"/>
    <w:rsid w:val="003E7F8D"/>
    <w:rsid w:val="003F017D"/>
    <w:rsid w:val="003F01FA"/>
    <w:rsid w:val="003F0656"/>
    <w:rsid w:val="003F0695"/>
    <w:rsid w:val="003F0D0C"/>
    <w:rsid w:val="003F305A"/>
    <w:rsid w:val="003F46E1"/>
    <w:rsid w:val="003F51CC"/>
    <w:rsid w:val="003F5B65"/>
    <w:rsid w:val="003F683C"/>
    <w:rsid w:val="003F7927"/>
    <w:rsid w:val="003F7F9D"/>
    <w:rsid w:val="004001A1"/>
    <w:rsid w:val="004003F7"/>
    <w:rsid w:val="00403B4A"/>
    <w:rsid w:val="00404F1A"/>
    <w:rsid w:val="00405807"/>
    <w:rsid w:val="00406728"/>
    <w:rsid w:val="00406DDE"/>
    <w:rsid w:val="004078D3"/>
    <w:rsid w:val="00411DCE"/>
    <w:rsid w:val="00411F2D"/>
    <w:rsid w:val="00412593"/>
    <w:rsid w:val="004125C6"/>
    <w:rsid w:val="00412FAC"/>
    <w:rsid w:val="00413600"/>
    <w:rsid w:val="0041438F"/>
    <w:rsid w:val="0041577C"/>
    <w:rsid w:val="00416262"/>
    <w:rsid w:val="00417726"/>
    <w:rsid w:val="004200A1"/>
    <w:rsid w:val="00420846"/>
    <w:rsid w:val="00420B16"/>
    <w:rsid w:val="004214E1"/>
    <w:rsid w:val="004215A5"/>
    <w:rsid w:val="00421BC0"/>
    <w:rsid w:val="00422126"/>
    <w:rsid w:val="00425319"/>
    <w:rsid w:val="0042539B"/>
    <w:rsid w:val="00430916"/>
    <w:rsid w:val="0043154F"/>
    <w:rsid w:val="00431708"/>
    <w:rsid w:val="00431B22"/>
    <w:rsid w:val="004344B8"/>
    <w:rsid w:val="00434628"/>
    <w:rsid w:val="004356C0"/>
    <w:rsid w:val="00436516"/>
    <w:rsid w:val="0043753A"/>
    <w:rsid w:val="00437B0D"/>
    <w:rsid w:val="0044050E"/>
    <w:rsid w:val="004411EF"/>
    <w:rsid w:val="004413FC"/>
    <w:rsid w:val="0044152B"/>
    <w:rsid w:val="00442201"/>
    <w:rsid w:val="00442AFB"/>
    <w:rsid w:val="00442EE8"/>
    <w:rsid w:val="004433A0"/>
    <w:rsid w:val="00444B97"/>
    <w:rsid w:val="00444D04"/>
    <w:rsid w:val="004459DE"/>
    <w:rsid w:val="00445C11"/>
    <w:rsid w:val="00445FE3"/>
    <w:rsid w:val="00450202"/>
    <w:rsid w:val="004502B7"/>
    <w:rsid w:val="0045112B"/>
    <w:rsid w:val="00451BAE"/>
    <w:rsid w:val="0045202C"/>
    <w:rsid w:val="004521C7"/>
    <w:rsid w:val="0045236B"/>
    <w:rsid w:val="0045592F"/>
    <w:rsid w:val="004565F2"/>
    <w:rsid w:val="00457265"/>
    <w:rsid w:val="0045759B"/>
    <w:rsid w:val="00457EFF"/>
    <w:rsid w:val="00461330"/>
    <w:rsid w:val="004619F8"/>
    <w:rsid w:val="00462822"/>
    <w:rsid w:val="00464087"/>
    <w:rsid w:val="004662B5"/>
    <w:rsid w:val="004667F4"/>
    <w:rsid w:val="00467223"/>
    <w:rsid w:val="00467B00"/>
    <w:rsid w:val="00467DB1"/>
    <w:rsid w:val="00470FD6"/>
    <w:rsid w:val="00471B20"/>
    <w:rsid w:val="00472867"/>
    <w:rsid w:val="00472D11"/>
    <w:rsid w:val="004731F1"/>
    <w:rsid w:val="004744D5"/>
    <w:rsid w:val="00474703"/>
    <w:rsid w:val="00475C03"/>
    <w:rsid w:val="00475D2A"/>
    <w:rsid w:val="00476547"/>
    <w:rsid w:val="00480907"/>
    <w:rsid w:val="00480ABC"/>
    <w:rsid w:val="00480EEA"/>
    <w:rsid w:val="00481AC9"/>
    <w:rsid w:val="00481DFC"/>
    <w:rsid w:val="00481EF4"/>
    <w:rsid w:val="00484CB5"/>
    <w:rsid w:val="00484FA1"/>
    <w:rsid w:val="00486579"/>
    <w:rsid w:val="00486EA0"/>
    <w:rsid w:val="004903EB"/>
    <w:rsid w:val="0049123C"/>
    <w:rsid w:val="00491240"/>
    <w:rsid w:val="00492E60"/>
    <w:rsid w:val="00493224"/>
    <w:rsid w:val="004932A7"/>
    <w:rsid w:val="0049384A"/>
    <w:rsid w:val="00493948"/>
    <w:rsid w:val="00494990"/>
    <w:rsid w:val="0049506C"/>
    <w:rsid w:val="0049625F"/>
    <w:rsid w:val="00497302"/>
    <w:rsid w:val="004A0B1D"/>
    <w:rsid w:val="004A2BC1"/>
    <w:rsid w:val="004A3B86"/>
    <w:rsid w:val="004A4208"/>
    <w:rsid w:val="004A57CD"/>
    <w:rsid w:val="004A5911"/>
    <w:rsid w:val="004A671F"/>
    <w:rsid w:val="004A7012"/>
    <w:rsid w:val="004B1061"/>
    <w:rsid w:val="004B22D7"/>
    <w:rsid w:val="004B3B0C"/>
    <w:rsid w:val="004B46E3"/>
    <w:rsid w:val="004B4886"/>
    <w:rsid w:val="004B4FAD"/>
    <w:rsid w:val="004B5047"/>
    <w:rsid w:val="004B55C8"/>
    <w:rsid w:val="004B62AA"/>
    <w:rsid w:val="004B6383"/>
    <w:rsid w:val="004B727A"/>
    <w:rsid w:val="004B76B1"/>
    <w:rsid w:val="004B7C65"/>
    <w:rsid w:val="004B7D98"/>
    <w:rsid w:val="004B7F71"/>
    <w:rsid w:val="004C0045"/>
    <w:rsid w:val="004C064A"/>
    <w:rsid w:val="004C11EB"/>
    <w:rsid w:val="004C1B0B"/>
    <w:rsid w:val="004C31AA"/>
    <w:rsid w:val="004C56BC"/>
    <w:rsid w:val="004C592B"/>
    <w:rsid w:val="004C60F1"/>
    <w:rsid w:val="004C7C3F"/>
    <w:rsid w:val="004D0501"/>
    <w:rsid w:val="004D09F0"/>
    <w:rsid w:val="004D0AA6"/>
    <w:rsid w:val="004D1B10"/>
    <w:rsid w:val="004D1E85"/>
    <w:rsid w:val="004D2C99"/>
    <w:rsid w:val="004D2F43"/>
    <w:rsid w:val="004D3FC3"/>
    <w:rsid w:val="004D5682"/>
    <w:rsid w:val="004D700D"/>
    <w:rsid w:val="004D74AF"/>
    <w:rsid w:val="004E1207"/>
    <w:rsid w:val="004E180D"/>
    <w:rsid w:val="004E3403"/>
    <w:rsid w:val="004E397D"/>
    <w:rsid w:val="004E3A51"/>
    <w:rsid w:val="004E48B1"/>
    <w:rsid w:val="004E5334"/>
    <w:rsid w:val="004E58D1"/>
    <w:rsid w:val="004E5BB3"/>
    <w:rsid w:val="004E65BF"/>
    <w:rsid w:val="004E674F"/>
    <w:rsid w:val="004E6D1F"/>
    <w:rsid w:val="004E7559"/>
    <w:rsid w:val="004F0F9B"/>
    <w:rsid w:val="004F138C"/>
    <w:rsid w:val="004F50C1"/>
    <w:rsid w:val="004F743C"/>
    <w:rsid w:val="004F7924"/>
    <w:rsid w:val="004F7D9C"/>
    <w:rsid w:val="00500030"/>
    <w:rsid w:val="005009B3"/>
    <w:rsid w:val="00500CB2"/>
    <w:rsid w:val="00501553"/>
    <w:rsid w:val="005016D8"/>
    <w:rsid w:val="00502138"/>
    <w:rsid w:val="00502B4B"/>
    <w:rsid w:val="00502CCE"/>
    <w:rsid w:val="00504673"/>
    <w:rsid w:val="00504975"/>
    <w:rsid w:val="00505985"/>
    <w:rsid w:val="00506402"/>
    <w:rsid w:val="00506721"/>
    <w:rsid w:val="005072C2"/>
    <w:rsid w:val="005102DE"/>
    <w:rsid w:val="00510DEF"/>
    <w:rsid w:val="00511529"/>
    <w:rsid w:val="00511C27"/>
    <w:rsid w:val="00512A15"/>
    <w:rsid w:val="00512ABC"/>
    <w:rsid w:val="00514759"/>
    <w:rsid w:val="005147B4"/>
    <w:rsid w:val="00515071"/>
    <w:rsid w:val="0051611D"/>
    <w:rsid w:val="00516517"/>
    <w:rsid w:val="00516CE4"/>
    <w:rsid w:val="005173A1"/>
    <w:rsid w:val="00517F73"/>
    <w:rsid w:val="00520AE2"/>
    <w:rsid w:val="00521458"/>
    <w:rsid w:val="005228E1"/>
    <w:rsid w:val="0052296C"/>
    <w:rsid w:val="00523EE4"/>
    <w:rsid w:val="00524332"/>
    <w:rsid w:val="00524615"/>
    <w:rsid w:val="00525560"/>
    <w:rsid w:val="00525852"/>
    <w:rsid w:val="0052717B"/>
    <w:rsid w:val="00530D03"/>
    <w:rsid w:val="00531B68"/>
    <w:rsid w:val="00532E08"/>
    <w:rsid w:val="0053300A"/>
    <w:rsid w:val="005355B2"/>
    <w:rsid w:val="00537686"/>
    <w:rsid w:val="005416CE"/>
    <w:rsid w:val="00541703"/>
    <w:rsid w:val="00541726"/>
    <w:rsid w:val="00542130"/>
    <w:rsid w:val="00543399"/>
    <w:rsid w:val="00543506"/>
    <w:rsid w:val="00543A94"/>
    <w:rsid w:val="00544B47"/>
    <w:rsid w:val="0054595E"/>
    <w:rsid w:val="005459A7"/>
    <w:rsid w:val="00546D05"/>
    <w:rsid w:val="0054728B"/>
    <w:rsid w:val="00547556"/>
    <w:rsid w:val="0054785F"/>
    <w:rsid w:val="0055025E"/>
    <w:rsid w:val="00551EAD"/>
    <w:rsid w:val="00552ABF"/>
    <w:rsid w:val="005548EE"/>
    <w:rsid w:val="00554B0D"/>
    <w:rsid w:val="00555BF0"/>
    <w:rsid w:val="00557468"/>
    <w:rsid w:val="00557597"/>
    <w:rsid w:val="00557A5E"/>
    <w:rsid w:val="00560FE9"/>
    <w:rsid w:val="00561589"/>
    <w:rsid w:val="00561DCF"/>
    <w:rsid w:val="00562194"/>
    <w:rsid w:val="00562B22"/>
    <w:rsid w:val="00562ED8"/>
    <w:rsid w:val="005635DA"/>
    <w:rsid w:val="00563783"/>
    <w:rsid w:val="00565017"/>
    <w:rsid w:val="00565BAD"/>
    <w:rsid w:val="00566137"/>
    <w:rsid w:val="00566828"/>
    <w:rsid w:val="00567584"/>
    <w:rsid w:val="00567639"/>
    <w:rsid w:val="005730B4"/>
    <w:rsid w:val="00573248"/>
    <w:rsid w:val="00573F60"/>
    <w:rsid w:val="00574806"/>
    <w:rsid w:val="00575FD6"/>
    <w:rsid w:val="0057789E"/>
    <w:rsid w:val="00577D31"/>
    <w:rsid w:val="0058135D"/>
    <w:rsid w:val="00581A78"/>
    <w:rsid w:val="00581B76"/>
    <w:rsid w:val="0058276F"/>
    <w:rsid w:val="005846E4"/>
    <w:rsid w:val="005846E9"/>
    <w:rsid w:val="005855F5"/>
    <w:rsid w:val="00586095"/>
    <w:rsid w:val="005875D4"/>
    <w:rsid w:val="0059082D"/>
    <w:rsid w:val="00590AEB"/>
    <w:rsid w:val="00591238"/>
    <w:rsid w:val="00592935"/>
    <w:rsid w:val="005933AA"/>
    <w:rsid w:val="005945E5"/>
    <w:rsid w:val="00594A90"/>
    <w:rsid w:val="00595B74"/>
    <w:rsid w:val="00597198"/>
    <w:rsid w:val="0059730A"/>
    <w:rsid w:val="005A0290"/>
    <w:rsid w:val="005A0AFB"/>
    <w:rsid w:val="005A158F"/>
    <w:rsid w:val="005A1E1E"/>
    <w:rsid w:val="005A26B4"/>
    <w:rsid w:val="005A329B"/>
    <w:rsid w:val="005A3FA3"/>
    <w:rsid w:val="005A40D2"/>
    <w:rsid w:val="005A4EEF"/>
    <w:rsid w:val="005A6753"/>
    <w:rsid w:val="005A6D16"/>
    <w:rsid w:val="005A731B"/>
    <w:rsid w:val="005B0217"/>
    <w:rsid w:val="005B04D7"/>
    <w:rsid w:val="005B0619"/>
    <w:rsid w:val="005B1B6C"/>
    <w:rsid w:val="005B1CE4"/>
    <w:rsid w:val="005B302A"/>
    <w:rsid w:val="005B797E"/>
    <w:rsid w:val="005C044D"/>
    <w:rsid w:val="005C2117"/>
    <w:rsid w:val="005C24B5"/>
    <w:rsid w:val="005C27CC"/>
    <w:rsid w:val="005C280A"/>
    <w:rsid w:val="005C32D7"/>
    <w:rsid w:val="005C4F5C"/>
    <w:rsid w:val="005C635C"/>
    <w:rsid w:val="005C688E"/>
    <w:rsid w:val="005C6991"/>
    <w:rsid w:val="005C72BA"/>
    <w:rsid w:val="005C7496"/>
    <w:rsid w:val="005C7641"/>
    <w:rsid w:val="005C7B74"/>
    <w:rsid w:val="005D01C8"/>
    <w:rsid w:val="005D0A37"/>
    <w:rsid w:val="005D1ED7"/>
    <w:rsid w:val="005D3010"/>
    <w:rsid w:val="005D438D"/>
    <w:rsid w:val="005D52A0"/>
    <w:rsid w:val="005D5358"/>
    <w:rsid w:val="005D7558"/>
    <w:rsid w:val="005E0774"/>
    <w:rsid w:val="005E1482"/>
    <w:rsid w:val="005E1931"/>
    <w:rsid w:val="005E1E9C"/>
    <w:rsid w:val="005E237E"/>
    <w:rsid w:val="005E3CC2"/>
    <w:rsid w:val="005E400A"/>
    <w:rsid w:val="005F189A"/>
    <w:rsid w:val="005F367E"/>
    <w:rsid w:val="005F38EF"/>
    <w:rsid w:val="005F3F18"/>
    <w:rsid w:val="005F40D7"/>
    <w:rsid w:val="005F6423"/>
    <w:rsid w:val="005F6ACC"/>
    <w:rsid w:val="006009D0"/>
    <w:rsid w:val="00602976"/>
    <w:rsid w:val="006039AF"/>
    <w:rsid w:val="0060440C"/>
    <w:rsid w:val="00605484"/>
    <w:rsid w:val="00605636"/>
    <w:rsid w:val="00606867"/>
    <w:rsid w:val="006077B7"/>
    <w:rsid w:val="00607B89"/>
    <w:rsid w:val="00612872"/>
    <w:rsid w:val="006129D3"/>
    <w:rsid w:val="00612A9B"/>
    <w:rsid w:val="006132BA"/>
    <w:rsid w:val="00613377"/>
    <w:rsid w:val="006146E5"/>
    <w:rsid w:val="00614BCE"/>
    <w:rsid w:val="0061594B"/>
    <w:rsid w:val="00616400"/>
    <w:rsid w:val="00616B27"/>
    <w:rsid w:val="00617BDF"/>
    <w:rsid w:val="00620404"/>
    <w:rsid w:val="006208F3"/>
    <w:rsid w:val="0062178D"/>
    <w:rsid w:val="00621D4F"/>
    <w:rsid w:val="00622504"/>
    <w:rsid w:val="006226BD"/>
    <w:rsid w:val="006227DA"/>
    <w:rsid w:val="00622C1F"/>
    <w:rsid w:val="0062305E"/>
    <w:rsid w:val="0062374C"/>
    <w:rsid w:val="00623E2A"/>
    <w:rsid w:val="006242F5"/>
    <w:rsid w:val="006244AC"/>
    <w:rsid w:val="006245AF"/>
    <w:rsid w:val="00627072"/>
    <w:rsid w:val="006302D2"/>
    <w:rsid w:val="00630B5F"/>
    <w:rsid w:val="00630E4A"/>
    <w:rsid w:val="00631469"/>
    <w:rsid w:val="006319FB"/>
    <w:rsid w:val="006322C3"/>
    <w:rsid w:val="0063333A"/>
    <w:rsid w:val="006333D4"/>
    <w:rsid w:val="00634B73"/>
    <w:rsid w:val="00634EC5"/>
    <w:rsid w:val="006350EA"/>
    <w:rsid w:val="006369E5"/>
    <w:rsid w:val="00636BA1"/>
    <w:rsid w:val="00636FE9"/>
    <w:rsid w:val="0063745B"/>
    <w:rsid w:val="00637522"/>
    <w:rsid w:val="0064185F"/>
    <w:rsid w:val="006439A6"/>
    <w:rsid w:val="006448C2"/>
    <w:rsid w:val="00645D82"/>
    <w:rsid w:val="00646984"/>
    <w:rsid w:val="006476F8"/>
    <w:rsid w:val="00650380"/>
    <w:rsid w:val="0065157D"/>
    <w:rsid w:val="00651645"/>
    <w:rsid w:val="00651C0C"/>
    <w:rsid w:val="0065215A"/>
    <w:rsid w:val="0065242F"/>
    <w:rsid w:val="0065275C"/>
    <w:rsid w:val="00652CB9"/>
    <w:rsid w:val="00655F9C"/>
    <w:rsid w:val="00656126"/>
    <w:rsid w:val="00656198"/>
    <w:rsid w:val="00656E65"/>
    <w:rsid w:val="006579A1"/>
    <w:rsid w:val="0066006D"/>
    <w:rsid w:val="00660FF8"/>
    <w:rsid w:val="006611EE"/>
    <w:rsid w:val="00661FC7"/>
    <w:rsid w:val="0066218A"/>
    <w:rsid w:val="00662F56"/>
    <w:rsid w:val="0066349C"/>
    <w:rsid w:val="00663B29"/>
    <w:rsid w:val="0066450E"/>
    <w:rsid w:val="00664AE8"/>
    <w:rsid w:val="00665A56"/>
    <w:rsid w:val="00665A7E"/>
    <w:rsid w:val="00665D81"/>
    <w:rsid w:val="00670D22"/>
    <w:rsid w:val="00670FA0"/>
    <w:rsid w:val="0067163F"/>
    <w:rsid w:val="00671F33"/>
    <w:rsid w:val="00673545"/>
    <w:rsid w:val="006754D8"/>
    <w:rsid w:val="006758E0"/>
    <w:rsid w:val="0067592D"/>
    <w:rsid w:val="006769B3"/>
    <w:rsid w:val="00677D65"/>
    <w:rsid w:val="006802A7"/>
    <w:rsid w:val="006803E6"/>
    <w:rsid w:val="00680C42"/>
    <w:rsid w:val="006814DD"/>
    <w:rsid w:val="00682BA7"/>
    <w:rsid w:val="00683F4A"/>
    <w:rsid w:val="0068403F"/>
    <w:rsid w:val="00684E6B"/>
    <w:rsid w:val="0068649A"/>
    <w:rsid w:val="00692DBF"/>
    <w:rsid w:val="00693175"/>
    <w:rsid w:val="00693A9C"/>
    <w:rsid w:val="00693E05"/>
    <w:rsid w:val="006940E6"/>
    <w:rsid w:val="006945A3"/>
    <w:rsid w:val="00694930"/>
    <w:rsid w:val="0069523C"/>
    <w:rsid w:val="00695657"/>
    <w:rsid w:val="00695B53"/>
    <w:rsid w:val="00695BA5"/>
    <w:rsid w:val="00695BEA"/>
    <w:rsid w:val="00697249"/>
    <w:rsid w:val="00697F16"/>
    <w:rsid w:val="006A0564"/>
    <w:rsid w:val="006A0BB2"/>
    <w:rsid w:val="006A121A"/>
    <w:rsid w:val="006A19A8"/>
    <w:rsid w:val="006A1DC1"/>
    <w:rsid w:val="006A1E5B"/>
    <w:rsid w:val="006A2B4F"/>
    <w:rsid w:val="006A37B6"/>
    <w:rsid w:val="006A4224"/>
    <w:rsid w:val="006A5002"/>
    <w:rsid w:val="006A60D2"/>
    <w:rsid w:val="006A643C"/>
    <w:rsid w:val="006A7FDE"/>
    <w:rsid w:val="006B1D25"/>
    <w:rsid w:val="006B3BD6"/>
    <w:rsid w:val="006B430C"/>
    <w:rsid w:val="006B48D0"/>
    <w:rsid w:val="006B6A2B"/>
    <w:rsid w:val="006B6E00"/>
    <w:rsid w:val="006B78F9"/>
    <w:rsid w:val="006C028A"/>
    <w:rsid w:val="006C052F"/>
    <w:rsid w:val="006C0B5C"/>
    <w:rsid w:val="006C382F"/>
    <w:rsid w:val="006C432D"/>
    <w:rsid w:val="006C434D"/>
    <w:rsid w:val="006C4FA5"/>
    <w:rsid w:val="006C586B"/>
    <w:rsid w:val="006C6DA6"/>
    <w:rsid w:val="006C76A7"/>
    <w:rsid w:val="006D01FA"/>
    <w:rsid w:val="006D163D"/>
    <w:rsid w:val="006D22C4"/>
    <w:rsid w:val="006D29D7"/>
    <w:rsid w:val="006D48CD"/>
    <w:rsid w:val="006D6E8C"/>
    <w:rsid w:val="006D78F4"/>
    <w:rsid w:val="006D7BBA"/>
    <w:rsid w:val="006D7F72"/>
    <w:rsid w:val="006E1380"/>
    <w:rsid w:val="006E2238"/>
    <w:rsid w:val="006E2B28"/>
    <w:rsid w:val="006E3298"/>
    <w:rsid w:val="006E356A"/>
    <w:rsid w:val="006E5C20"/>
    <w:rsid w:val="006E76CA"/>
    <w:rsid w:val="006E77ED"/>
    <w:rsid w:val="006F20D8"/>
    <w:rsid w:val="006F20DC"/>
    <w:rsid w:val="006F22DC"/>
    <w:rsid w:val="006F2BDF"/>
    <w:rsid w:val="006F3D86"/>
    <w:rsid w:val="006F4314"/>
    <w:rsid w:val="006F4559"/>
    <w:rsid w:val="006F4B0D"/>
    <w:rsid w:val="006F642C"/>
    <w:rsid w:val="00702579"/>
    <w:rsid w:val="007025F7"/>
    <w:rsid w:val="00702F8E"/>
    <w:rsid w:val="0070353D"/>
    <w:rsid w:val="00703B2A"/>
    <w:rsid w:val="0070585D"/>
    <w:rsid w:val="00707113"/>
    <w:rsid w:val="00707CA0"/>
    <w:rsid w:val="00707D76"/>
    <w:rsid w:val="00711893"/>
    <w:rsid w:val="007118FC"/>
    <w:rsid w:val="007123AB"/>
    <w:rsid w:val="00717223"/>
    <w:rsid w:val="00717443"/>
    <w:rsid w:val="00720871"/>
    <w:rsid w:val="00721BEF"/>
    <w:rsid w:val="0072380E"/>
    <w:rsid w:val="00726FA8"/>
    <w:rsid w:val="00727516"/>
    <w:rsid w:val="00727A04"/>
    <w:rsid w:val="00730BDF"/>
    <w:rsid w:val="007311D5"/>
    <w:rsid w:val="0073305F"/>
    <w:rsid w:val="00733699"/>
    <w:rsid w:val="00734B04"/>
    <w:rsid w:val="00735B98"/>
    <w:rsid w:val="0073657C"/>
    <w:rsid w:val="007369E0"/>
    <w:rsid w:val="00736D0B"/>
    <w:rsid w:val="007370DF"/>
    <w:rsid w:val="00737FDA"/>
    <w:rsid w:val="0074001D"/>
    <w:rsid w:val="00740B6C"/>
    <w:rsid w:val="00742F6D"/>
    <w:rsid w:val="00743A4C"/>
    <w:rsid w:val="00744AD5"/>
    <w:rsid w:val="00744C5A"/>
    <w:rsid w:val="00745041"/>
    <w:rsid w:val="007453B1"/>
    <w:rsid w:val="00745FA8"/>
    <w:rsid w:val="007464BB"/>
    <w:rsid w:val="007475E4"/>
    <w:rsid w:val="00747F14"/>
    <w:rsid w:val="00750006"/>
    <w:rsid w:val="00750273"/>
    <w:rsid w:val="007509C8"/>
    <w:rsid w:val="007518F1"/>
    <w:rsid w:val="00751DFF"/>
    <w:rsid w:val="00751F10"/>
    <w:rsid w:val="0075341A"/>
    <w:rsid w:val="007560FD"/>
    <w:rsid w:val="007569E1"/>
    <w:rsid w:val="00756E8B"/>
    <w:rsid w:val="007578DF"/>
    <w:rsid w:val="00757971"/>
    <w:rsid w:val="00763B19"/>
    <w:rsid w:val="00763D6C"/>
    <w:rsid w:val="00764415"/>
    <w:rsid w:val="00764C5D"/>
    <w:rsid w:val="00765793"/>
    <w:rsid w:val="0076689F"/>
    <w:rsid w:val="00766E26"/>
    <w:rsid w:val="007676E3"/>
    <w:rsid w:val="00767779"/>
    <w:rsid w:val="00770FBA"/>
    <w:rsid w:val="007736A9"/>
    <w:rsid w:val="007755C7"/>
    <w:rsid w:val="00775C27"/>
    <w:rsid w:val="00780F7A"/>
    <w:rsid w:val="00784526"/>
    <w:rsid w:val="00784D41"/>
    <w:rsid w:val="007853C8"/>
    <w:rsid w:val="007854E2"/>
    <w:rsid w:val="00786EE9"/>
    <w:rsid w:val="007875FF"/>
    <w:rsid w:val="00787EC7"/>
    <w:rsid w:val="007916A4"/>
    <w:rsid w:val="00791E4F"/>
    <w:rsid w:val="007926E9"/>
    <w:rsid w:val="007932A7"/>
    <w:rsid w:val="007932F2"/>
    <w:rsid w:val="00794165"/>
    <w:rsid w:val="007945D5"/>
    <w:rsid w:val="00794631"/>
    <w:rsid w:val="007957A2"/>
    <w:rsid w:val="00795FC3"/>
    <w:rsid w:val="007961D1"/>
    <w:rsid w:val="00797035"/>
    <w:rsid w:val="007A1AF8"/>
    <w:rsid w:val="007A1B77"/>
    <w:rsid w:val="007A2102"/>
    <w:rsid w:val="007A2DA6"/>
    <w:rsid w:val="007A2DB4"/>
    <w:rsid w:val="007A4510"/>
    <w:rsid w:val="007A4B97"/>
    <w:rsid w:val="007A5522"/>
    <w:rsid w:val="007A7621"/>
    <w:rsid w:val="007B011E"/>
    <w:rsid w:val="007B0A17"/>
    <w:rsid w:val="007B0AA5"/>
    <w:rsid w:val="007B1D3E"/>
    <w:rsid w:val="007B1ED6"/>
    <w:rsid w:val="007B2240"/>
    <w:rsid w:val="007B2EEA"/>
    <w:rsid w:val="007B3720"/>
    <w:rsid w:val="007B3DC7"/>
    <w:rsid w:val="007B452C"/>
    <w:rsid w:val="007B4DB2"/>
    <w:rsid w:val="007C0252"/>
    <w:rsid w:val="007C0265"/>
    <w:rsid w:val="007C12B6"/>
    <w:rsid w:val="007C2FB4"/>
    <w:rsid w:val="007C35AA"/>
    <w:rsid w:val="007C3A15"/>
    <w:rsid w:val="007C456B"/>
    <w:rsid w:val="007C4FB2"/>
    <w:rsid w:val="007C5E93"/>
    <w:rsid w:val="007C5FDB"/>
    <w:rsid w:val="007C60B6"/>
    <w:rsid w:val="007C61A9"/>
    <w:rsid w:val="007C6CD5"/>
    <w:rsid w:val="007C6D09"/>
    <w:rsid w:val="007D01D2"/>
    <w:rsid w:val="007D19E5"/>
    <w:rsid w:val="007D1B0B"/>
    <w:rsid w:val="007D32BE"/>
    <w:rsid w:val="007D37F8"/>
    <w:rsid w:val="007D4EA8"/>
    <w:rsid w:val="007D505C"/>
    <w:rsid w:val="007D506F"/>
    <w:rsid w:val="007D74BD"/>
    <w:rsid w:val="007E0017"/>
    <w:rsid w:val="007E02C5"/>
    <w:rsid w:val="007E0C6B"/>
    <w:rsid w:val="007E2183"/>
    <w:rsid w:val="007E2B92"/>
    <w:rsid w:val="007E4057"/>
    <w:rsid w:val="007E5640"/>
    <w:rsid w:val="007E6605"/>
    <w:rsid w:val="007E7048"/>
    <w:rsid w:val="007F03F8"/>
    <w:rsid w:val="007F29CB"/>
    <w:rsid w:val="007F3F84"/>
    <w:rsid w:val="007F49D7"/>
    <w:rsid w:val="007F4A25"/>
    <w:rsid w:val="007F5204"/>
    <w:rsid w:val="007F521F"/>
    <w:rsid w:val="007F5249"/>
    <w:rsid w:val="007F614B"/>
    <w:rsid w:val="007F6BA6"/>
    <w:rsid w:val="007F6D00"/>
    <w:rsid w:val="007F7DDC"/>
    <w:rsid w:val="00800591"/>
    <w:rsid w:val="00800940"/>
    <w:rsid w:val="008016E7"/>
    <w:rsid w:val="0080197A"/>
    <w:rsid w:val="00803469"/>
    <w:rsid w:val="008040C7"/>
    <w:rsid w:val="008041A5"/>
    <w:rsid w:val="00805350"/>
    <w:rsid w:val="00807839"/>
    <w:rsid w:val="00807ACF"/>
    <w:rsid w:val="0081115D"/>
    <w:rsid w:val="00811582"/>
    <w:rsid w:val="008124E6"/>
    <w:rsid w:val="00812EC8"/>
    <w:rsid w:val="0081409E"/>
    <w:rsid w:val="00814C70"/>
    <w:rsid w:val="00814E34"/>
    <w:rsid w:val="008156AF"/>
    <w:rsid w:val="00815884"/>
    <w:rsid w:val="008161AD"/>
    <w:rsid w:val="00816E09"/>
    <w:rsid w:val="008178BD"/>
    <w:rsid w:val="00817B31"/>
    <w:rsid w:val="00817CC6"/>
    <w:rsid w:val="00820BFE"/>
    <w:rsid w:val="00822231"/>
    <w:rsid w:val="008223A8"/>
    <w:rsid w:val="008246EB"/>
    <w:rsid w:val="008267D2"/>
    <w:rsid w:val="00826BC4"/>
    <w:rsid w:val="008273AD"/>
    <w:rsid w:val="00827752"/>
    <w:rsid w:val="00830658"/>
    <w:rsid w:val="0083120A"/>
    <w:rsid w:val="008318AD"/>
    <w:rsid w:val="00833148"/>
    <w:rsid w:val="008331AD"/>
    <w:rsid w:val="00833B99"/>
    <w:rsid w:val="00835A07"/>
    <w:rsid w:val="00836353"/>
    <w:rsid w:val="008364B6"/>
    <w:rsid w:val="0083707D"/>
    <w:rsid w:val="00841782"/>
    <w:rsid w:val="008434EE"/>
    <w:rsid w:val="00843EF2"/>
    <w:rsid w:val="00844195"/>
    <w:rsid w:val="008462EB"/>
    <w:rsid w:val="00846C20"/>
    <w:rsid w:val="00846FD3"/>
    <w:rsid w:val="00851532"/>
    <w:rsid w:val="008529A6"/>
    <w:rsid w:val="00853790"/>
    <w:rsid w:val="00856372"/>
    <w:rsid w:val="008563EE"/>
    <w:rsid w:val="00856AE8"/>
    <w:rsid w:val="0085703E"/>
    <w:rsid w:val="0085790F"/>
    <w:rsid w:val="00857C31"/>
    <w:rsid w:val="0086123E"/>
    <w:rsid w:val="00861593"/>
    <w:rsid w:val="00861AC8"/>
    <w:rsid w:val="0086341C"/>
    <w:rsid w:val="00863C11"/>
    <w:rsid w:val="008647B0"/>
    <w:rsid w:val="0086481B"/>
    <w:rsid w:val="00864FED"/>
    <w:rsid w:val="008662EC"/>
    <w:rsid w:val="008663B5"/>
    <w:rsid w:val="008665EA"/>
    <w:rsid w:val="0086666B"/>
    <w:rsid w:val="00867373"/>
    <w:rsid w:val="00870484"/>
    <w:rsid w:val="008717B3"/>
    <w:rsid w:val="00872902"/>
    <w:rsid w:val="00873315"/>
    <w:rsid w:val="00873613"/>
    <w:rsid w:val="008748E1"/>
    <w:rsid w:val="00875F29"/>
    <w:rsid w:val="00876302"/>
    <w:rsid w:val="00876A5B"/>
    <w:rsid w:val="00877B3B"/>
    <w:rsid w:val="00877E7D"/>
    <w:rsid w:val="00877ED4"/>
    <w:rsid w:val="00881F56"/>
    <w:rsid w:val="00882341"/>
    <w:rsid w:val="008827B0"/>
    <w:rsid w:val="00882843"/>
    <w:rsid w:val="00883655"/>
    <w:rsid w:val="0088390F"/>
    <w:rsid w:val="0088446B"/>
    <w:rsid w:val="00884783"/>
    <w:rsid w:val="00884AF3"/>
    <w:rsid w:val="00885529"/>
    <w:rsid w:val="008857B6"/>
    <w:rsid w:val="008865A4"/>
    <w:rsid w:val="0088686E"/>
    <w:rsid w:val="00886DB8"/>
    <w:rsid w:val="00887501"/>
    <w:rsid w:val="00887AA3"/>
    <w:rsid w:val="008922D8"/>
    <w:rsid w:val="00892E8B"/>
    <w:rsid w:val="00892E9A"/>
    <w:rsid w:val="00893D18"/>
    <w:rsid w:val="00894CC0"/>
    <w:rsid w:val="00895048"/>
    <w:rsid w:val="00895BE9"/>
    <w:rsid w:val="00895DC2"/>
    <w:rsid w:val="0089611A"/>
    <w:rsid w:val="0089725F"/>
    <w:rsid w:val="0089728E"/>
    <w:rsid w:val="00897A7D"/>
    <w:rsid w:val="008A0A99"/>
    <w:rsid w:val="008A156D"/>
    <w:rsid w:val="008A1B30"/>
    <w:rsid w:val="008A1C7F"/>
    <w:rsid w:val="008A1E5A"/>
    <w:rsid w:val="008A3BF6"/>
    <w:rsid w:val="008A4427"/>
    <w:rsid w:val="008A4E8E"/>
    <w:rsid w:val="008A5CA5"/>
    <w:rsid w:val="008A66C1"/>
    <w:rsid w:val="008A6732"/>
    <w:rsid w:val="008B00A8"/>
    <w:rsid w:val="008B0398"/>
    <w:rsid w:val="008B03BB"/>
    <w:rsid w:val="008B09EC"/>
    <w:rsid w:val="008B0A1D"/>
    <w:rsid w:val="008B1E26"/>
    <w:rsid w:val="008B324E"/>
    <w:rsid w:val="008B421D"/>
    <w:rsid w:val="008B50F9"/>
    <w:rsid w:val="008B5CCD"/>
    <w:rsid w:val="008B5EDD"/>
    <w:rsid w:val="008B713D"/>
    <w:rsid w:val="008B7FA2"/>
    <w:rsid w:val="008C141A"/>
    <w:rsid w:val="008C3891"/>
    <w:rsid w:val="008C3DA8"/>
    <w:rsid w:val="008C6226"/>
    <w:rsid w:val="008D078C"/>
    <w:rsid w:val="008D0C92"/>
    <w:rsid w:val="008D3497"/>
    <w:rsid w:val="008D4B36"/>
    <w:rsid w:val="008D4C28"/>
    <w:rsid w:val="008D556B"/>
    <w:rsid w:val="008D5ECB"/>
    <w:rsid w:val="008D6BAD"/>
    <w:rsid w:val="008E0EB4"/>
    <w:rsid w:val="008E1284"/>
    <w:rsid w:val="008E16E9"/>
    <w:rsid w:val="008E2E4F"/>
    <w:rsid w:val="008E2FA6"/>
    <w:rsid w:val="008E33C0"/>
    <w:rsid w:val="008E36C8"/>
    <w:rsid w:val="008E5688"/>
    <w:rsid w:val="008E798A"/>
    <w:rsid w:val="008F186E"/>
    <w:rsid w:val="008F234C"/>
    <w:rsid w:val="008F26A2"/>
    <w:rsid w:val="008F2D18"/>
    <w:rsid w:val="008F338D"/>
    <w:rsid w:val="008F4268"/>
    <w:rsid w:val="008F4309"/>
    <w:rsid w:val="008F5161"/>
    <w:rsid w:val="008F58A9"/>
    <w:rsid w:val="008F5C15"/>
    <w:rsid w:val="008F657D"/>
    <w:rsid w:val="008F675B"/>
    <w:rsid w:val="008F6BF7"/>
    <w:rsid w:val="008F7D4E"/>
    <w:rsid w:val="00900048"/>
    <w:rsid w:val="00901FA0"/>
    <w:rsid w:val="00902D31"/>
    <w:rsid w:val="009047D0"/>
    <w:rsid w:val="00904D5D"/>
    <w:rsid w:val="00905954"/>
    <w:rsid w:val="00905BF7"/>
    <w:rsid w:val="00905E64"/>
    <w:rsid w:val="00906483"/>
    <w:rsid w:val="00906823"/>
    <w:rsid w:val="0090736E"/>
    <w:rsid w:val="009075A4"/>
    <w:rsid w:val="00907BF1"/>
    <w:rsid w:val="00907D30"/>
    <w:rsid w:val="00907D60"/>
    <w:rsid w:val="0091005D"/>
    <w:rsid w:val="009105E2"/>
    <w:rsid w:val="0091120F"/>
    <w:rsid w:val="009116B8"/>
    <w:rsid w:val="00912CF3"/>
    <w:rsid w:val="00912F6B"/>
    <w:rsid w:val="00913805"/>
    <w:rsid w:val="009142C7"/>
    <w:rsid w:val="009148B0"/>
    <w:rsid w:val="0091537E"/>
    <w:rsid w:val="00915B49"/>
    <w:rsid w:val="0091604A"/>
    <w:rsid w:val="0091682D"/>
    <w:rsid w:val="009168F4"/>
    <w:rsid w:val="00917A34"/>
    <w:rsid w:val="009205AA"/>
    <w:rsid w:val="00920A64"/>
    <w:rsid w:val="00922E07"/>
    <w:rsid w:val="00925766"/>
    <w:rsid w:val="00926EE4"/>
    <w:rsid w:val="009279BA"/>
    <w:rsid w:val="00930778"/>
    <w:rsid w:val="00930F89"/>
    <w:rsid w:val="0093199E"/>
    <w:rsid w:val="00931DC9"/>
    <w:rsid w:val="0093206E"/>
    <w:rsid w:val="00932902"/>
    <w:rsid w:val="0093491D"/>
    <w:rsid w:val="00934ED1"/>
    <w:rsid w:val="009374DB"/>
    <w:rsid w:val="00940FCA"/>
    <w:rsid w:val="00941166"/>
    <w:rsid w:val="00941217"/>
    <w:rsid w:val="00941684"/>
    <w:rsid w:val="00941C14"/>
    <w:rsid w:val="00942455"/>
    <w:rsid w:val="0094248F"/>
    <w:rsid w:val="00942941"/>
    <w:rsid w:val="00945746"/>
    <w:rsid w:val="009463C2"/>
    <w:rsid w:val="0094653C"/>
    <w:rsid w:val="00946659"/>
    <w:rsid w:val="009467C6"/>
    <w:rsid w:val="00946B7C"/>
    <w:rsid w:val="00947EC9"/>
    <w:rsid w:val="00950AE5"/>
    <w:rsid w:val="00950F4D"/>
    <w:rsid w:val="0095107D"/>
    <w:rsid w:val="009512A8"/>
    <w:rsid w:val="00951C95"/>
    <w:rsid w:val="00952DB6"/>
    <w:rsid w:val="00953316"/>
    <w:rsid w:val="0095337A"/>
    <w:rsid w:val="00953CB2"/>
    <w:rsid w:val="00954894"/>
    <w:rsid w:val="00954B73"/>
    <w:rsid w:val="00955214"/>
    <w:rsid w:val="00955344"/>
    <w:rsid w:val="009561D2"/>
    <w:rsid w:val="009604FF"/>
    <w:rsid w:val="00962939"/>
    <w:rsid w:val="009639AD"/>
    <w:rsid w:val="00963BDB"/>
    <w:rsid w:val="00964256"/>
    <w:rsid w:val="0096446D"/>
    <w:rsid w:val="009647B1"/>
    <w:rsid w:val="00965B4A"/>
    <w:rsid w:val="00965CA2"/>
    <w:rsid w:val="00967098"/>
    <w:rsid w:val="0096766A"/>
    <w:rsid w:val="0097086C"/>
    <w:rsid w:val="00970F6B"/>
    <w:rsid w:val="0097135A"/>
    <w:rsid w:val="00974115"/>
    <w:rsid w:val="009745B8"/>
    <w:rsid w:val="00974A1A"/>
    <w:rsid w:val="009760B3"/>
    <w:rsid w:val="00980252"/>
    <w:rsid w:val="0098047E"/>
    <w:rsid w:val="00980969"/>
    <w:rsid w:val="009810D1"/>
    <w:rsid w:val="00981B11"/>
    <w:rsid w:val="00982830"/>
    <w:rsid w:val="00982F08"/>
    <w:rsid w:val="0098407A"/>
    <w:rsid w:val="009845B6"/>
    <w:rsid w:val="00984E14"/>
    <w:rsid w:val="00986184"/>
    <w:rsid w:val="00986B81"/>
    <w:rsid w:val="00986E0C"/>
    <w:rsid w:val="00987DAE"/>
    <w:rsid w:val="009911D4"/>
    <w:rsid w:val="009919F4"/>
    <w:rsid w:val="00992609"/>
    <w:rsid w:val="009953CC"/>
    <w:rsid w:val="00995BCF"/>
    <w:rsid w:val="0099701F"/>
    <w:rsid w:val="009A0B6F"/>
    <w:rsid w:val="009A143C"/>
    <w:rsid w:val="009A1FC5"/>
    <w:rsid w:val="009A23F6"/>
    <w:rsid w:val="009A29AD"/>
    <w:rsid w:val="009A3323"/>
    <w:rsid w:val="009A38CC"/>
    <w:rsid w:val="009A39E5"/>
    <w:rsid w:val="009A3D70"/>
    <w:rsid w:val="009A54EF"/>
    <w:rsid w:val="009A6409"/>
    <w:rsid w:val="009B04FE"/>
    <w:rsid w:val="009B10DE"/>
    <w:rsid w:val="009B115F"/>
    <w:rsid w:val="009B12AB"/>
    <w:rsid w:val="009B2FE4"/>
    <w:rsid w:val="009B33EB"/>
    <w:rsid w:val="009B550E"/>
    <w:rsid w:val="009B5BD2"/>
    <w:rsid w:val="009B5C3B"/>
    <w:rsid w:val="009B7C1D"/>
    <w:rsid w:val="009C13F7"/>
    <w:rsid w:val="009C1F56"/>
    <w:rsid w:val="009C22EF"/>
    <w:rsid w:val="009C2B50"/>
    <w:rsid w:val="009C4081"/>
    <w:rsid w:val="009C4585"/>
    <w:rsid w:val="009C5D9C"/>
    <w:rsid w:val="009C693D"/>
    <w:rsid w:val="009C74D7"/>
    <w:rsid w:val="009D0B58"/>
    <w:rsid w:val="009D0E35"/>
    <w:rsid w:val="009D1A0D"/>
    <w:rsid w:val="009D320F"/>
    <w:rsid w:val="009D5AD4"/>
    <w:rsid w:val="009D7334"/>
    <w:rsid w:val="009D73CE"/>
    <w:rsid w:val="009E0D7B"/>
    <w:rsid w:val="009E2BA0"/>
    <w:rsid w:val="009E38B1"/>
    <w:rsid w:val="009E482D"/>
    <w:rsid w:val="009E5172"/>
    <w:rsid w:val="009E5562"/>
    <w:rsid w:val="009E5981"/>
    <w:rsid w:val="009E5C0D"/>
    <w:rsid w:val="009E5EF2"/>
    <w:rsid w:val="009E5F9E"/>
    <w:rsid w:val="009E614C"/>
    <w:rsid w:val="009E61FF"/>
    <w:rsid w:val="009E6893"/>
    <w:rsid w:val="009E784D"/>
    <w:rsid w:val="009F29C6"/>
    <w:rsid w:val="009F36CD"/>
    <w:rsid w:val="009F4E0A"/>
    <w:rsid w:val="009F5043"/>
    <w:rsid w:val="009F50A7"/>
    <w:rsid w:val="009F56A7"/>
    <w:rsid w:val="009F6144"/>
    <w:rsid w:val="009F699B"/>
    <w:rsid w:val="009F6B3E"/>
    <w:rsid w:val="009F6E55"/>
    <w:rsid w:val="009F7390"/>
    <w:rsid w:val="009F77F2"/>
    <w:rsid w:val="00A0033C"/>
    <w:rsid w:val="00A00D14"/>
    <w:rsid w:val="00A01D33"/>
    <w:rsid w:val="00A03EFA"/>
    <w:rsid w:val="00A04835"/>
    <w:rsid w:val="00A06ADD"/>
    <w:rsid w:val="00A120E9"/>
    <w:rsid w:val="00A12404"/>
    <w:rsid w:val="00A1345C"/>
    <w:rsid w:val="00A13587"/>
    <w:rsid w:val="00A16993"/>
    <w:rsid w:val="00A21B91"/>
    <w:rsid w:val="00A22597"/>
    <w:rsid w:val="00A2263D"/>
    <w:rsid w:val="00A22F1C"/>
    <w:rsid w:val="00A23EBE"/>
    <w:rsid w:val="00A24689"/>
    <w:rsid w:val="00A24825"/>
    <w:rsid w:val="00A24AAC"/>
    <w:rsid w:val="00A257C2"/>
    <w:rsid w:val="00A25DE9"/>
    <w:rsid w:val="00A2654E"/>
    <w:rsid w:val="00A276D4"/>
    <w:rsid w:val="00A277E3"/>
    <w:rsid w:val="00A27E32"/>
    <w:rsid w:val="00A30534"/>
    <w:rsid w:val="00A34008"/>
    <w:rsid w:val="00A35396"/>
    <w:rsid w:val="00A3602E"/>
    <w:rsid w:val="00A366E3"/>
    <w:rsid w:val="00A366F4"/>
    <w:rsid w:val="00A3761A"/>
    <w:rsid w:val="00A400E3"/>
    <w:rsid w:val="00A40907"/>
    <w:rsid w:val="00A41A26"/>
    <w:rsid w:val="00A41DA9"/>
    <w:rsid w:val="00A41E94"/>
    <w:rsid w:val="00A421F5"/>
    <w:rsid w:val="00A42356"/>
    <w:rsid w:val="00A44F56"/>
    <w:rsid w:val="00A465CD"/>
    <w:rsid w:val="00A5003A"/>
    <w:rsid w:val="00A50D37"/>
    <w:rsid w:val="00A52045"/>
    <w:rsid w:val="00A52D2F"/>
    <w:rsid w:val="00A54E46"/>
    <w:rsid w:val="00A556B8"/>
    <w:rsid w:val="00A56243"/>
    <w:rsid w:val="00A5671C"/>
    <w:rsid w:val="00A60272"/>
    <w:rsid w:val="00A61912"/>
    <w:rsid w:val="00A61A0C"/>
    <w:rsid w:val="00A62E0C"/>
    <w:rsid w:val="00A6305A"/>
    <w:rsid w:val="00A630D4"/>
    <w:rsid w:val="00A635F8"/>
    <w:rsid w:val="00A63CD9"/>
    <w:rsid w:val="00A63FDE"/>
    <w:rsid w:val="00A656CF"/>
    <w:rsid w:val="00A66CA3"/>
    <w:rsid w:val="00A675C0"/>
    <w:rsid w:val="00A705C2"/>
    <w:rsid w:val="00A70A8B"/>
    <w:rsid w:val="00A70E3F"/>
    <w:rsid w:val="00A7142C"/>
    <w:rsid w:val="00A714A8"/>
    <w:rsid w:val="00A727DA"/>
    <w:rsid w:val="00A72C45"/>
    <w:rsid w:val="00A733B5"/>
    <w:rsid w:val="00A74BB9"/>
    <w:rsid w:val="00A74D01"/>
    <w:rsid w:val="00A74D31"/>
    <w:rsid w:val="00A755B6"/>
    <w:rsid w:val="00A75F57"/>
    <w:rsid w:val="00A7699B"/>
    <w:rsid w:val="00A76EB8"/>
    <w:rsid w:val="00A772DF"/>
    <w:rsid w:val="00A808B7"/>
    <w:rsid w:val="00A810C9"/>
    <w:rsid w:val="00A81200"/>
    <w:rsid w:val="00A8177B"/>
    <w:rsid w:val="00A82702"/>
    <w:rsid w:val="00A82FEF"/>
    <w:rsid w:val="00A844CF"/>
    <w:rsid w:val="00A85CDD"/>
    <w:rsid w:val="00A86771"/>
    <w:rsid w:val="00A90497"/>
    <w:rsid w:val="00A91722"/>
    <w:rsid w:val="00A923FE"/>
    <w:rsid w:val="00A92722"/>
    <w:rsid w:val="00A960E8"/>
    <w:rsid w:val="00A96741"/>
    <w:rsid w:val="00A96C19"/>
    <w:rsid w:val="00AA04CD"/>
    <w:rsid w:val="00AA0A30"/>
    <w:rsid w:val="00AA1524"/>
    <w:rsid w:val="00AA2258"/>
    <w:rsid w:val="00AA2644"/>
    <w:rsid w:val="00AA3ED4"/>
    <w:rsid w:val="00AA4620"/>
    <w:rsid w:val="00AA4F57"/>
    <w:rsid w:val="00AA675B"/>
    <w:rsid w:val="00AA756A"/>
    <w:rsid w:val="00AA79D7"/>
    <w:rsid w:val="00AA7CCE"/>
    <w:rsid w:val="00AB0617"/>
    <w:rsid w:val="00AB0FE8"/>
    <w:rsid w:val="00AB171E"/>
    <w:rsid w:val="00AB3C60"/>
    <w:rsid w:val="00AB54B8"/>
    <w:rsid w:val="00AB59CC"/>
    <w:rsid w:val="00AB5D86"/>
    <w:rsid w:val="00AB6AFB"/>
    <w:rsid w:val="00AB70A8"/>
    <w:rsid w:val="00AB711A"/>
    <w:rsid w:val="00AB7D82"/>
    <w:rsid w:val="00AC023D"/>
    <w:rsid w:val="00AC0788"/>
    <w:rsid w:val="00AC0953"/>
    <w:rsid w:val="00AC1066"/>
    <w:rsid w:val="00AC1D3E"/>
    <w:rsid w:val="00AC3009"/>
    <w:rsid w:val="00AC35BD"/>
    <w:rsid w:val="00AC3B73"/>
    <w:rsid w:val="00AC441A"/>
    <w:rsid w:val="00AC4487"/>
    <w:rsid w:val="00AC64AB"/>
    <w:rsid w:val="00AD0079"/>
    <w:rsid w:val="00AD050C"/>
    <w:rsid w:val="00AD0753"/>
    <w:rsid w:val="00AD0EB7"/>
    <w:rsid w:val="00AD1143"/>
    <w:rsid w:val="00AD1E11"/>
    <w:rsid w:val="00AD3075"/>
    <w:rsid w:val="00AD3F6C"/>
    <w:rsid w:val="00AD447F"/>
    <w:rsid w:val="00AD5ADD"/>
    <w:rsid w:val="00AD5AE2"/>
    <w:rsid w:val="00AD677E"/>
    <w:rsid w:val="00AD69FE"/>
    <w:rsid w:val="00AD6E55"/>
    <w:rsid w:val="00AD745F"/>
    <w:rsid w:val="00AD777F"/>
    <w:rsid w:val="00AE038A"/>
    <w:rsid w:val="00AE051E"/>
    <w:rsid w:val="00AE09C8"/>
    <w:rsid w:val="00AE2C29"/>
    <w:rsid w:val="00AE2FE1"/>
    <w:rsid w:val="00AE4640"/>
    <w:rsid w:val="00AE46E1"/>
    <w:rsid w:val="00AE754B"/>
    <w:rsid w:val="00AE767A"/>
    <w:rsid w:val="00AE7AA6"/>
    <w:rsid w:val="00AF03DC"/>
    <w:rsid w:val="00AF1313"/>
    <w:rsid w:val="00AF19C9"/>
    <w:rsid w:val="00AF2630"/>
    <w:rsid w:val="00AF327C"/>
    <w:rsid w:val="00AF3F95"/>
    <w:rsid w:val="00AF4DB2"/>
    <w:rsid w:val="00AF4E04"/>
    <w:rsid w:val="00AF543F"/>
    <w:rsid w:val="00AF5B2B"/>
    <w:rsid w:val="00AF6E06"/>
    <w:rsid w:val="00AF7464"/>
    <w:rsid w:val="00B004C4"/>
    <w:rsid w:val="00B007C7"/>
    <w:rsid w:val="00B0149B"/>
    <w:rsid w:val="00B01879"/>
    <w:rsid w:val="00B01B1A"/>
    <w:rsid w:val="00B01B5C"/>
    <w:rsid w:val="00B0294F"/>
    <w:rsid w:val="00B0317B"/>
    <w:rsid w:val="00B03430"/>
    <w:rsid w:val="00B07C47"/>
    <w:rsid w:val="00B10932"/>
    <w:rsid w:val="00B11B2B"/>
    <w:rsid w:val="00B11FB2"/>
    <w:rsid w:val="00B1288A"/>
    <w:rsid w:val="00B12B40"/>
    <w:rsid w:val="00B12DAA"/>
    <w:rsid w:val="00B14452"/>
    <w:rsid w:val="00B16CE4"/>
    <w:rsid w:val="00B16F60"/>
    <w:rsid w:val="00B17398"/>
    <w:rsid w:val="00B20467"/>
    <w:rsid w:val="00B20688"/>
    <w:rsid w:val="00B21790"/>
    <w:rsid w:val="00B2206C"/>
    <w:rsid w:val="00B22CF9"/>
    <w:rsid w:val="00B259B5"/>
    <w:rsid w:val="00B269B6"/>
    <w:rsid w:val="00B31850"/>
    <w:rsid w:val="00B31BB3"/>
    <w:rsid w:val="00B33B77"/>
    <w:rsid w:val="00B35A59"/>
    <w:rsid w:val="00B36B5E"/>
    <w:rsid w:val="00B3758B"/>
    <w:rsid w:val="00B40F49"/>
    <w:rsid w:val="00B41BC8"/>
    <w:rsid w:val="00B41F33"/>
    <w:rsid w:val="00B43CD6"/>
    <w:rsid w:val="00B43DF4"/>
    <w:rsid w:val="00B465F2"/>
    <w:rsid w:val="00B46DA8"/>
    <w:rsid w:val="00B47BE4"/>
    <w:rsid w:val="00B50363"/>
    <w:rsid w:val="00B504BD"/>
    <w:rsid w:val="00B513BF"/>
    <w:rsid w:val="00B527ED"/>
    <w:rsid w:val="00B5380B"/>
    <w:rsid w:val="00B53856"/>
    <w:rsid w:val="00B53C29"/>
    <w:rsid w:val="00B55EE6"/>
    <w:rsid w:val="00B561FA"/>
    <w:rsid w:val="00B56BB1"/>
    <w:rsid w:val="00B572C9"/>
    <w:rsid w:val="00B57E72"/>
    <w:rsid w:val="00B57E7F"/>
    <w:rsid w:val="00B60097"/>
    <w:rsid w:val="00B602C4"/>
    <w:rsid w:val="00B606C9"/>
    <w:rsid w:val="00B61DA9"/>
    <w:rsid w:val="00B623F3"/>
    <w:rsid w:val="00B62D33"/>
    <w:rsid w:val="00B63C73"/>
    <w:rsid w:val="00B64BE4"/>
    <w:rsid w:val="00B64F48"/>
    <w:rsid w:val="00B66E83"/>
    <w:rsid w:val="00B6704F"/>
    <w:rsid w:val="00B67B23"/>
    <w:rsid w:val="00B67BED"/>
    <w:rsid w:val="00B67C83"/>
    <w:rsid w:val="00B73798"/>
    <w:rsid w:val="00B7433A"/>
    <w:rsid w:val="00B76BA0"/>
    <w:rsid w:val="00B76C47"/>
    <w:rsid w:val="00B77FDF"/>
    <w:rsid w:val="00B80BA1"/>
    <w:rsid w:val="00B82844"/>
    <w:rsid w:val="00B87BB4"/>
    <w:rsid w:val="00B87D24"/>
    <w:rsid w:val="00B929F4"/>
    <w:rsid w:val="00B92FAD"/>
    <w:rsid w:val="00B9325D"/>
    <w:rsid w:val="00B9418E"/>
    <w:rsid w:val="00B9519F"/>
    <w:rsid w:val="00B96FDD"/>
    <w:rsid w:val="00B97537"/>
    <w:rsid w:val="00B977F9"/>
    <w:rsid w:val="00B9791D"/>
    <w:rsid w:val="00BA0660"/>
    <w:rsid w:val="00BA1760"/>
    <w:rsid w:val="00BA247C"/>
    <w:rsid w:val="00BA33A7"/>
    <w:rsid w:val="00BA3F8D"/>
    <w:rsid w:val="00BA4499"/>
    <w:rsid w:val="00BA5A8E"/>
    <w:rsid w:val="00BA6527"/>
    <w:rsid w:val="00BA67B9"/>
    <w:rsid w:val="00BA7096"/>
    <w:rsid w:val="00BA7152"/>
    <w:rsid w:val="00BA7788"/>
    <w:rsid w:val="00BA7CDD"/>
    <w:rsid w:val="00BA7FF6"/>
    <w:rsid w:val="00BB0578"/>
    <w:rsid w:val="00BB0B92"/>
    <w:rsid w:val="00BB0F39"/>
    <w:rsid w:val="00BB133E"/>
    <w:rsid w:val="00BB1569"/>
    <w:rsid w:val="00BB1D7D"/>
    <w:rsid w:val="00BB31AA"/>
    <w:rsid w:val="00BB35D3"/>
    <w:rsid w:val="00BB3C9C"/>
    <w:rsid w:val="00BB62C5"/>
    <w:rsid w:val="00BB6EFE"/>
    <w:rsid w:val="00BB6F5E"/>
    <w:rsid w:val="00BC0C8D"/>
    <w:rsid w:val="00BC15A7"/>
    <w:rsid w:val="00BC193A"/>
    <w:rsid w:val="00BC24E3"/>
    <w:rsid w:val="00BC25E2"/>
    <w:rsid w:val="00BC268B"/>
    <w:rsid w:val="00BC26C4"/>
    <w:rsid w:val="00BC43E7"/>
    <w:rsid w:val="00BC4847"/>
    <w:rsid w:val="00BC4D96"/>
    <w:rsid w:val="00BC5A0C"/>
    <w:rsid w:val="00BC6258"/>
    <w:rsid w:val="00BC6788"/>
    <w:rsid w:val="00BC6BF2"/>
    <w:rsid w:val="00BC6CD2"/>
    <w:rsid w:val="00BC782A"/>
    <w:rsid w:val="00BD0817"/>
    <w:rsid w:val="00BD0ECD"/>
    <w:rsid w:val="00BD0F8C"/>
    <w:rsid w:val="00BD1641"/>
    <w:rsid w:val="00BD1904"/>
    <w:rsid w:val="00BD22FC"/>
    <w:rsid w:val="00BD2A75"/>
    <w:rsid w:val="00BD2C9D"/>
    <w:rsid w:val="00BD3033"/>
    <w:rsid w:val="00BD3653"/>
    <w:rsid w:val="00BD4B85"/>
    <w:rsid w:val="00BD5F1C"/>
    <w:rsid w:val="00BD6D5C"/>
    <w:rsid w:val="00BE0353"/>
    <w:rsid w:val="00BE041C"/>
    <w:rsid w:val="00BE1870"/>
    <w:rsid w:val="00BE2566"/>
    <w:rsid w:val="00BE30B3"/>
    <w:rsid w:val="00BE4899"/>
    <w:rsid w:val="00BE490B"/>
    <w:rsid w:val="00BE5430"/>
    <w:rsid w:val="00BE5B5A"/>
    <w:rsid w:val="00BE600D"/>
    <w:rsid w:val="00BE61C3"/>
    <w:rsid w:val="00BF0CB9"/>
    <w:rsid w:val="00BF1F16"/>
    <w:rsid w:val="00BF2331"/>
    <w:rsid w:val="00BF24F6"/>
    <w:rsid w:val="00BF333E"/>
    <w:rsid w:val="00BF3465"/>
    <w:rsid w:val="00BF3664"/>
    <w:rsid w:val="00BF6821"/>
    <w:rsid w:val="00BF6870"/>
    <w:rsid w:val="00BF77CE"/>
    <w:rsid w:val="00C00A0F"/>
    <w:rsid w:val="00C0119F"/>
    <w:rsid w:val="00C0154D"/>
    <w:rsid w:val="00C02A7D"/>
    <w:rsid w:val="00C02E52"/>
    <w:rsid w:val="00C035B7"/>
    <w:rsid w:val="00C03608"/>
    <w:rsid w:val="00C0362E"/>
    <w:rsid w:val="00C03D9A"/>
    <w:rsid w:val="00C040F0"/>
    <w:rsid w:val="00C04764"/>
    <w:rsid w:val="00C04FD0"/>
    <w:rsid w:val="00C0543D"/>
    <w:rsid w:val="00C059B8"/>
    <w:rsid w:val="00C06875"/>
    <w:rsid w:val="00C06AC6"/>
    <w:rsid w:val="00C06DCA"/>
    <w:rsid w:val="00C077FC"/>
    <w:rsid w:val="00C10438"/>
    <w:rsid w:val="00C118DB"/>
    <w:rsid w:val="00C12D7D"/>
    <w:rsid w:val="00C12EDC"/>
    <w:rsid w:val="00C14639"/>
    <w:rsid w:val="00C14E07"/>
    <w:rsid w:val="00C15284"/>
    <w:rsid w:val="00C163C0"/>
    <w:rsid w:val="00C167AF"/>
    <w:rsid w:val="00C16BB6"/>
    <w:rsid w:val="00C21DFB"/>
    <w:rsid w:val="00C22640"/>
    <w:rsid w:val="00C22B6A"/>
    <w:rsid w:val="00C23083"/>
    <w:rsid w:val="00C23260"/>
    <w:rsid w:val="00C23D20"/>
    <w:rsid w:val="00C24029"/>
    <w:rsid w:val="00C266CB"/>
    <w:rsid w:val="00C27093"/>
    <w:rsid w:val="00C3094E"/>
    <w:rsid w:val="00C31436"/>
    <w:rsid w:val="00C314C5"/>
    <w:rsid w:val="00C31FEB"/>
    <w:rsid w:val="00C33A4E"/>
    <w:rsid w:val="00C33B2D"/>
    <w:rsid w:val="00C341D9"/>
    <w:rsid w:val="00C34547"/>
    <w:rsid w:val="00C34847"/>
    <w:rsid w:val="00C3532B"/>
    <w:rsid w:val="00C3539E"/>
    <w:rsid w:val="00C364B0"/>
    <w:rsid w:val="00C36FF2"/>
    <w:rsid w:val="00C372FE"/>
    <w:rsid w:val="00C37895"/>
    <w:rsid w:val="00C407EA"/>
    <w:rsid w:val="00C41480"/>
    <w:rsid w:val="00C41BE9"/>
    <w:rsid w:val="00C41D9E"/>
    <w:rsid w:val="00C42A01"/>
    <w:rsid w:val="00C43073"/>
    <w:rsid w:val="00C445E4"/>
    <w:rsid w:val="00C448F0"/>
    <w:rsid w:val="00C45CD5"/>
    <w:rsid w:val="00C46E55"/>
    <w:rsid w:val="00C471B5"/>
    <w:rsid w:val="00C47A79"/>
    <w:rsid w:val="00C51E41"/>
    <w:rsid w:val="00C523E0"/>
    <w:rsid w:val="00C52ECF"/>
    <w:rsid w:val="00C541DE"/>
    <w:rsid w:val="00C54353"/>
    <w:rsid w:val="00C54A1E"/>
    <w:rsid w:val="00C54A7A"/>
    <w:rsid w:val="00C54D2F"/>
    <w:rsid w:val="00C54E6B"/>
    <w:rsid w:val="00C5546E"/>
    <w:rsid w:val="00C55E9D"/>
    <w:rsid w:val="00C56282"/>
    <w:rsid w:val="00C604C9"/>
    <w:rsid w:val="00C6063F"/>
    <w:rsid w:val="00C60B7D"/>
    <w:rsid w:val="00C60BF4"/>
    <w:rsid w:val="00C6507B"/>
    <w:rsid w:val="00C661AD"/>
    <w:rsid w:val="00C66DB1"/>
    <w:rsid w:val="00C67F37"/>
    <w:rsid w:val="00C67FD4"/>
    <w:rsid w:val="00C701F0"/>
    <w:rsid w:val="00C72F45"/>
    <w:rsid w:val="00C731A1"/>
    <w:rsid w:val="00C737F2"/>
    <w:rsid w:val="00C73D36"/>
    <w:rsid w:val="00C76F43"/>
    <w:rsid w:val="00C81849"/>
    <w:rsid w:val="00C82F60"/>
    <w:rsid w:val="00C830B0"/>
    <w:rsid w:val="00C84042"/>
    <w:rsid w:val="00C84A04"/>
    <w:rsid w:val="00C85471"/>
    <w:rsid w:val="00C8636C"/>
    <w:rsid w:val="00C91DEF"/>
    <w:rsid w:val="00C91FAC"/>
    <w:rsid w:val="00C92466"/>
    <w:rsid w:val="00C92B9A"/>
    <w:rsid w:val="00C92BC1"/>
    <w:rsid w:val="00C9326E"/>
    <w:rsid w:val="00C940A9"/>
    <w:rsid w:val="00C95272"/>
    <w:rsid w:val="00C9604B"/>
    <w:rsid w:val="00C9762C"/>
    <w:rsid w:val="00CA32B3"/>
    <w:rsid w:val="00CA3B7D"/>
    <w:rsid w:val="00CA44EE"/>
    <w:rsid w:val="00CA485F"/>
    <w:rsid w:val="00CA5728"/>
    <w:rsid w:val="00CA57BB"/>
    <w:rsid w:val="00CA5EBD"/>
    <w:rsid w:val="00CA64B3"/>
    <w:rsid w:val="00CA693C"/>
    <w:rsid w:val="00CA78F0"/>
    <w:rsid w:val="00CB0B4A"/>
    <w:rsid w:val="00CB1257"/>
    <w:rsid w:val="00CB2362"/>
    <w:rsid w:val="00CB2814"/>
    <w:rsid w:val="00CB35D1"/>
    <w:rsid w:val="00CB3DEF"/>
    <w:rsid w:val="00CB41C9"/>
    <w:rsid w:val="00CB68D8"/>
    <w:rsid w:val="00CB772F"/>
    <w:rsid w:val="00CC1D87"/>
    <w:rsid w:val="00CC2B5D"/>
    <w:rsid w:val="00CC2C14"/>
    <w:rsid w:val="00CC3BD8"/>
    <w:rsid w:val="00CC41AC"/>
    <w:rsid w:val="00CC6E3B"/>
    <w:rsid w:val="00CC7D27"/>
    <w:rsid w:val="00CD01DF"/>
    <w:rsid w:val="00CD059D"/>
    <w:rsid w:val="00CD1BE0"/>
    <w:rsid w:val="00CD28F4"/>
    <w:rsid w:val="00CD2B27"/>
    <w:rsid w:val="00CD328C"/>
    <w:rsid w:val="00CD760D"/>
    <w:rsid w:val="00CE17E5"/>
    <w:rsid w:val="00CE30D5"/>
    <w:rsid w:val="00CE368E"/>
    <w:rsid w:val="00CE4794"/>
    <w:rsid w:val="00CE604D"/>
    <w:rsid w:val="00CE64D7"/>
    <w:rsid w:val="00CE66E5"/>
    <w:rsid w:val="00CE73D0"/>
    <w:rsid w:val="00CF10F8"/>
    <w:rsid w:val="00CF2E6F"/>
    <w:rsid w:val="00CF3CBB"/>
    <w:rsid w:val="00CF3F12"/>
    <w:rsid w:val="00CF4184"/>
    <w:rsid w:val="00CF4A0D"/>
    <w:rsid w:val="00CF4D85"/>
    <w:rsid w:val="00CF633D"/>
    <w:rsid w:val="00CF7294"/>
    <w:rsid w:val="00D005D9"/>
    <w:rsid w:val="00D015EF"/>
    <w:rsid w:val="00D0181E"/>
    <w:rsid w:val="00D01A15"/>
    <w:rsid w:val="00D01AB7"/>
    <w:rsid w:val="00D01B45"/>
    <w:rsid w:val="00D02B47"/>
    <w:rsid w:val="00D02B8D"/>
    <w:rsid w:val="00D02DB2"/>
    <w:rsid w:val="00D02F86"/>
    <w:rsid w:val="00D039E8"/>
    <w:rsid w:val="00D03BFD"/>
    <w:rsid w:val="00D03E1B"/>
    <w:rsid w:val="00D04AB6"/>
    <w:rsid w:val="00D0519E"/>
    <w:rsid w:val="00D05793"/>
    <w:rsid w:val="00D05D96"/>
    <w:rsid w:val="00D06534"/>
    <w:rsid w:val="00D0783A"/>
    <w:rsid w:val="00D07C1F"/>
    <w:rsid w:val="00D07E9B"/>
    <w:rsid w:val="00D11285"/>
    <w:rsid w:val="00D116A3"/>
    <w:rsid w:val="00D126ED"/>
    <w:rsid w:val="00D12BC8"/>
    <w:rsid w:val="00D13065"/>
    <w:rsid w:val="00D1361E"/>
    <w:rsid w:val="00D138D3"/>
    <w:rsid w:val="00D14571"/>
    <w:rsid w:val="00D165FA"/>
    <w:rsid w:val="00D165FD"/>
    <w:rsid w:val="00D16916"/>
    <w:rsid w:val="00D16E12"/>
    <w:rsid w:val="00D16E2B"/>
    <w:rsid w:val="00D172B5"/>
    <w:rsid w:val="00D2023C"/>
    <w:rsid w:val="00D21D25"/>
    <w:rsid w:val="00D223C2"/>
    <w:rsid w:val="00D228DC"/>
    <w:rsid w:val="00D22FBF"/>
    <w:rsid w:val="00D233D0"/>
    <w:rsid w:val="00D2353A"/>
    <w:rsid w:val="00D253C0"/>
    <w:rsid w:val="00D2570E"/>
    <w:rsid w:val="00D25C87"/>
    <w:rsid w:val="00D25C99"/>
    <w:rsid w:val="00D264ED"/>
    <w:rsid w:val="00D26DAD"/>
    <w:rsid w:val="00D26EEE"/>
    <w:rsid w:val="00D27594"/>
    <w:rsid w:val="00D27DCD"/>
    <w:rsid w:val="00D30183"/>
    <w:rsid w:val="00D3203A"/>
    <w:rsid w:val="00D3281A"/>
    <w:rsid w:val="00D33043"/>
    <w:rsid w:val="00D33966"/>
    <w:rsid w:val="00D3423A"/>
    <w:rsid w:val="00D3423E"/>
    <w:rsid w:val="00D34798"/>
    <w:rsid w:val="00D3569E"/>
    <w:rsid w:val="00D36C8F"/>
    <w:rsid w:val="00D36FB0"/>
    <w:rsid w:val="00D37321"/>
    <w:rsid w:val="00D3795A"/>
    <w:rsid w:val="00D37B62"/>
    <w:rsid w:val="00D37DCE"/>
    <w:rsid w:val="00D428E6"/>
    <w:rsid w:val="00D43AEA"/>
    <w:rsid w:val="00D44758"/>
    <w:rsid w:val="00D44FCD"/>
    <w:rsid w:val="00D4500F"/>
    <w:rsid w:val="00D45281"/>
    <w:rsid w:val="00D458A7"/>
    <w:rsid w:val="00D45E7D"/>
    <w:rsid w:val="00D5062C"/>
    <w:rsid w:val="00D51087"/>
    <w:rsid w:val="00D518B2"/>
    <w:rsid w:val="00D526B3"/>
    <w:rsid w:val="00D52C95"/>
    <w:rsid w:val="00D52D4D"/>
    <w:rsid w:val="00D52E6D"/>
    <w:rsid w:val="00D534DD"/>
    <w:rsid w:val="00D54750"/>
    <w:rsid w:val="00D54D1C"/>
    <w:rsid w:val="00D54E64"/>
    <w:rsid w:val="00D57A0A"/>
    <w:rsid w:val="00D623C9"/>
    <w:rsid w:val="00D628AF"/>
    <w:rsid w:val="00D6361E"/>
    <w:rsid w:val="00D646D1"/>
    <w:rsid w:val="00D66F73"/>
    <w:rsid w:val="00D70658"/>
    <w:rsid w:val="00D70F22"/>
    <w:rsid w:val="00D71D25"/>
    <w:rsid w:val="00D73301"/>
    <w:rsid w:val="00D73A28"/>
    <w:rsid w:val="00D75ED7"/>
    <w:rsid w:val="00D765FA"/>
    <w:rsid w:val="00D76779"/>
    <w:rsid w:val="00D7696A"/>
    <w:rsid w:val="00D7703D"/>
    <w:rsid w:val="00D771F6"/>
    <w:rsid w:val="00D80A5E"/>
    <w:rsid w:val="00D80D9F"/>
    <w:rsid w:val="00D81037"/>
    <w:rsid w:val="00D8130C"/>
    <w:rsid w:val="00D81C50"/>
    <w:rsid w:val="00D81D44"/>
    <w:rsid w:val="00D82316"/>
    <w:rsid w:val="00D82996"/>
    <w:rsid w:val="00D82A05"/>
    <w:rsid w:val="00D836C9"/>
    <w:rsid w:val="00D83906"/>
    <w:rsid w:val="00D85176"/>
    <w:rsid w:val="00D90D53"/>
    <w:rsid w:val="00D92471"/>
    <w:rsid w:val="00D92D5F"/>
    <w:rsid w:val="00D93974"/>
    <w:rsid w:val="00D977F5"/>
    <w:rsid w:val="00D97885"/>
    <w:rsid w:val="00DA18E8"/>
    <w:rsid w:val="00DA1986"/>
    <w:rsid w:val="00DA199D"/>
    <w:rsid w:val="00DA1A81"/>
    <w:rsid w:val="00DA220C"/>
    <w:rsid w:val="00DA394A"/>
    <w:rsid w:val="00DA54FA"/>
    <w:rsid w:val="00DA5AA5"/>
    <w:rsid w:val="00DA6CBD"/>
    <w:rsid w:val="00DB10A7"/>
    <w:rsid w:val="00DB189B"/>
    <w:rsid w:val="00DB2AD6"/>
    <w:rsid w:val="00DB5F09"/>
    <w:rsid w:val="00DB7C9A"/>
    <w:rsid w:val="00DC06FC"/>
    <w:rsid w:val="00DC1B5C"/>
    <w:rsid w:val="00DC1CC0"/>
    <w:rsid w:val="00DC2191"/>
    <w:rsid w:val="00DC2270"/>
    <w:rsid w:val="00DC2353"/>
    <w:rsid w:val="00DC5D19"/>
    <w:rsid w:val="00DC7287"/>
    <w:rsid w:val="00DC7566"/>
    <w:rsid w:val="00DC78AD"/>
    <w:rsid w:val="00DC7F3B"/>
    <w:rsid w:val="00DD00CE"/>
    <w:rsid w:val="00DD0477"/>
    <w:rsid w:val="00DD069D"/>
    <w:rsid w:val="00DD1400"/>
    <w:rsid w:val="00DD2760"/>
    <w:rsid w:val="00DE038F"/>
    <w:rsid w:val="00DE0393"/>
    <w:rsid w:val="00DE08B6"/>
    <w:rsid w:val="00DE1999"/>
    <w:rsid w:val="00DE2A2C"/>
    <w:rsid w:val="00DE3626"/>
    <w:rsid w:val="00DE430F"/>
    <w:rsid w:val="00DE6B34"/>
    <w:rsid w:val="00DF0066"/>
    <w:rsid w:val="00DF03C6"/>
    <w:rsid w:val="00DF09D5"/>
    <w:rsid w:val="00DF0CEE"/>
    <w:rsid w:val="00DF1BDA"/>
    <w:rsid w:val="00DF1EA7"/>
    <w:rsid w:val="00DF2A4B"/>
    <w:rsid w:val="00DF39FF"/>
    <w:rsid w:val="00DF3FB4"/>
    <w:rsid w:val="00DF463A"/>
    <w:rsid w:val="00DF5373"/>
    <w:rsid w:val="00DF599C"/>
    <w:rsid w:val="00E00422"/>
    <w:rsid w:val="00E0064E"/>
    <w:rsid w:val="00E01EB3"/>
    <w:rsid w:val="00E02788"/>
    <w:rsid w:val="00E02EA3"/>
    <w:rsid w:val="00E038ED"/>
    <w:rsid w:val="00E041EC"/>
    <w:rsid w:val="00E0461E"/>
    <w:rsid w:val="00E04C53"/>
    <w:rsid w:val="00E04EFB"/>
    <w:rsid w:val="00E06D43"/>
    <w:rsid w:val="00E1066C"/>
    <w:rsid w:val="00E10746"/>
    <w:rsid w:val="00E116D4"/>
    <w:rsid w:val="00E12591"/>
    <w:rsid w:val="00E12EED"/>
    <w:rsid w:val="00E12FF3"/>
    <w:rsid w:val="00E13C54"/>
    <w:rsid w:val="00E14877"/>
    <w:rsid w:val="00E14F66"/>
    <w:rsid w:val="00E16385"/>
    <w:rsid w:val="00E20F10"/>
    <w:rsid w:val="00E212F7"/>
    <w:rsid w:val="00E21BFC"/>
    <w:rsid w:val="00E22E87"/>
    <w:rsid w:val="00E2305E"/>
    <w:rsid w:val="00E2330F"/>
    <w:rsid w:val="00E2359B"/>
    <w:rsid w:val="00E252D2"/>
    <w:rsid w:val="00E252E5"/>
    <w:rsid w:val="00E269CF"/>
    <w:rsid w:val="00E2768D"/>
    <w:rsid w:val="00E27847"/>
    <w:rsid w:val="00E30E8A"/>
    <w:rsid w:val="00E32532"/>
    <w:rsid w:val="00E327F6"/>
    <w:rsid w:val="00E33C45"/>
    <w:rsid w:val="00E34638"/>
    <w:rsid w:val="00E3576A"/>
    <w:rsid w:val="00E37B38"/>
    <w:rsid w:val="00E43321"/>
    <w:rsid w:val="00E440F2"/>
    <w:rsid w:val="00E45AD2"/>
    <w:rsid w:val="00E47457"/>
    <w:rsid w:val="00E47C52"/>
    <w:rsid w:val="00E5107C"/>
    <w:rsid w:val="00E510E6"/>
    <w:rsid w:val="00E53126"/>
    <w:rsid w:val="00E56017"/>
    <w:rsid w:val="00E568A5"/>
    <w:rsid w:val="00E56C2F"/>
    <w:rsid w:val="00E57163"/>
    <w:rsid w:val="00E57479"/>
    <w:rsid w:val="00E57495"/>
    <w:rsid w:val="00E57B99"/>
    <w:rsid w:val="00E606A6"/>
    <w:rsid w:val="00E60848"/>
    <w:rsid w:val="00E615FB"/>
    <w:rsid w:val="00E63B37"/>
    <w:rsid w:val="00E63BE4"/>
    <w:rsid w:val="00E63F1F"/>
    <w:rsid w:val="00E667FB"/>
    <w:rsid w:val="00E677E0"/>
    <w:rsid w:val="00E67DD5"/>
    <w:rsid w:val="00E700EB"/>
    <w:rsid w:val="00E70182"/>
    <w:rsid w:val="00E70485"/>
    <w:rsid w:val="00E70B00"/>
    <w:rsid w:val="00E70B2F"/>
    <w:rsid w:val="00E70B3B"/>
    <w:rsid w:val="00E71925"/>
    <w:rsid w:val="00E71E27"/>
    <w:rsid w:val="00E74030"/>
    <w:rsid w:val="00E755E4"/>
    <w:rsid w:val="00E75DFA"/>
    <w:rsid w:val="00E7655D"/>
    <w:rsid w:val="00E769CB"/>
    <w:rsid w:val="00E76DE0"/>
    <w:rsid w:val="00E81527"/>
    <w:rsid w:val="00E819D2"/>
    <w:rsid w:val="00E82544"/>
    <w:rsid w:val="00E82E34"/>
    <w:rsid w:val="00E842F3"/>
    <w:rsid w:val="00E847F1"/>
    <w:rsid w:val="00E84D2D"/>
    <w:rsid w:val="00E85BEA"/>
    <w:rsid w:val="00E8729C"/>
    <w:rsid w:val="00E8746F"/>
    <w:rsid w:val="00E87A9E"/>
    <w:rsid w:val="00E87DBE"/>
    <w:rsid w:val="00E90462"/>
    <w:rsid w:val="00E90F01"/>
    <w:rsid w:val="00E92619"/>
    <w:rsid w:val="00E9363C"/>
    <w:rsid w:val="00E95CA4"/>
    <w:rsid w:val="00E96B57"/>
    <w:rsid w:val="00E96B5A"/>
    <w:rsid w:val="00E97346"/>
    <w:rsid w:val="00E97709"/>
    <w:rsid w:val="00E97B8D"/>
    <w:rsid w:val="00E97DD0"/>
    <w:rsid w:val="00EA04BF"/>
    <w:rsid w:val="00EA17D5"/>
    <w:rsid w:val="00EA19B5"/>
    <w:rsid w:val="00EA231A"/>
    <w:rsid w:val="00EA2A3C"/>
    <w:rsid w:val="00EA2B58"/>
    <w:rsid w:val="00EA4B1E"/>
    <w:rsid w:val="00EA4D86"/>
    <w:rsid w:val="00EA6621"/>
    <w:rsid w:val="00EA7389"/>
    <w:rsid w:val="00EA7DCA"/>
    <w:rsid w:val="00EB04DF"/>
    <w:rsid w:val="00EB1B84"/>
    <w:rsid w:val="00EB2BA1"/>
    <w:rsid w:val="00EB3C80"/>
    <w:rsid w:val="00EB3E7E"/>
    <w:rsid w:val="00EB5E86"/>
    <w:rsid w:val="00EB6441"/>
    <w:rsid w:val="00EB6752"/>
    <w:rsid w:val="00EB67E5"/>
    <w:rsid w:val="00EC011B"/>
    <w:rsid w:val="00EC04C5"/>
    <w:rsid w:val="00EC251F"/>
    <w:rsid w:val="00EC470D"/>
    <w:rsid w:val="00EC5C6B"/>
    <w:rsid w:val="00EC5D5D"/>
    <w:rsid w:val="00EC712B"/>
    <w:rsid w:val="00ED1480"/>
    <w:rsid w:val="00ED230E"/>
    <w:rsid w:val="00ED23D7"/>
    <w:rsid w:val="00ED2BA7"/>
    <w:rsid w:val="00ED3195"/>
    <w:rsid w:val="00ED3A4F"/>
    <w:rsid w:val="00ED3F5E"/>
    <w:rsid w:val="00ED60D4"/>
    <w:rsid w:val="00ED7148"/>
    <w:rsid w:val="00ED7A19"/>
    <w:rsid w:val="00ED7B2B"/>
    <w:rsid w:val="00EE1DAA"/>
    <w:rsid w:val="00EE2CFD"/>
    <w:rsid w:val="00EE4756"/>
    <w:rsid w:val="00EE4891"/>
    <w:rsid w:val="00EE504F"/>
    <w:rsid w:val="00EE5F04"/>
    <w:rsid w:val="00EE6C15"/>
    <w:rsid w:val="00EF07B8"/>
    <w:rsid w:val="00EF0FCC"/>
    <w:rsid w:val="00EF1C1F"/>
    <w:rsid w:val="00EF2552"/>
    <w:rsid w:val="00EF2D9C"/>
    <w:rsid w:val="00EF483B"/>
    <w:rsid w:val="00EF506E"/>
    <w:rsid w:val="00EF5738"/>
    <w:rsid w:val="00EF5EDC"/>
    <w:rsid w:val="00EF644C"/>
    <w:rsid w:val="00EF6D82"/>
    <w:rsid w:val="00EF73EB"/>
    <w:rsid w:val="00F0028D"/>
    <w:rsid w:val="00F01B6E"/>
    <w:rsid w:val="00F02044"/>
    <w:rsid w:val="00F02B0A"/>
    <w:rsid w:val="00F0346B"/>
    <w:rsid w:val="00F04171"/>
    <w:rsid w:val="00F059FF"/>
    <w:rsid w:val="00F0679B"/>
    <w:rsid w:val="00F06B3F"/>
    <w:rsid w:val="00F07240"/>
    <w:rsid w:val="00F07645"/>
    <w:rsid w:val="00F077BD"/>
    <w:rsid w:val="00F079D7"/>
    <w:rsid w:val="00F1026E"/>
    <w:rsid w:val="00F129C4"/>
    <w:rsid w:val="00F15068"/>
    <w:rsid w:val="00F15CF2"/>
    <w:rsid w:val="00F16525"/>
    <w:rsid w:val="00F17369"/>
    <w:rsid w:val="00F174E2"/>
    <w:rsid w:val="00F20073"/>
    <w:rsid w:val="00F22FFA"/>
    <w:rsid w:val="00F232FE"/>
    <w:rsid w:val="00F2402B"/>
    <w:rsid w:val="00F259E0"/>
    <w:rsid w:val="00F25EBF"/>
    <w:rsid w:val="00F25FBC"/>
    <w:rsid w:val="00F30967"/>
    <w:rsid w:val="00F309E6"/>
    <w:rsid w:val="00F31087"/>
    <w:rsid w:val="00F32D58"/>
    <w:rsid w:val="00F32EC4"/>
    <w:rsid w:val="00F34849"/>
    <w:rsid w:val="00F34FFE"/>
    <w:rsid w:val="00F36184"/>
    <w:rsid w:val="00F36261"/>
    <w:rsid w:val="00F36459"/>
    <w:rsid w:val="00F40130"/>
    <w:rsid w:val="00F40A64"/>
    <w:rsid w:val="00F44910"/>
    <w:rsid w:val="00F44B35"/>
    <w:rsid w:val="00F44CBC"/>
    <w:rsid w:val="00F45A58"/>
    <w:rsid w:val="00F47BD3"/>
    <w:rsid w:val="00F5058E"/>
    <w:rsid w:val="00F50AB3"/>
    <w:rsid w:val="00F5165A"/>
    <w:rsid w:val="00F538C5"/>
    <w:rsid w:val="00F54A64"/>
    <w:rsid w:val="00F55D58"/>
    <w:rsid w:val="00F568D2"/>
    <w:rsid w:val="00F56B0B"/>
    <w:rsid w:val="00F5762B"/>
    <w:rsid w:val="00F60C7F"/>
    <w:rsid w:val="00F617E0"/>
    <w:rsid w:val="00F61AD9"/>
    <w:rsid w:val="00F624E9"/>
    <w:rsid w:val="00F6296C"/>
    <w:rsid w:val="00F62A84"/>
    <w:rsid w:val="00F62BB4"/>
    <w:rsid w:val="00F65D49"/>
    <w:rsid w:val="00F669C0"/>
    <w:rsid w:val="00F675C7"/>
    <w:rsid w:val="00F733F1"/>
    <w:rsid w:val="00F73CBE"/>
    <w:rsid w:val="00F754CE"/>
    <w:rsid w:val="00F75AC0"/>
    <w:rsid w:val="00F75FAA"/>
    <w:rsid w:val="00F76E18"/>
    <w:rsid w:val="00F8052F"/>
    <w:rsid w:val="00F80E1E"/>
    <w:rsid w:val="00F818C2"/>
    <w:rsid w:val="00F81D0B"/>
    <w:rsid w:val="00F82104"/>
    <w:rsid w:val="00F82B7B"/>
    <w:rsid w:val="00F833DC"/>
    <w:rsid w:val="00F8629F"/>
    <w:rsid w:val="00F86655"/>
    <w:rsid w:val="00F86869"/>
    <w:rsid w:val="00F86B7F"/>
    <w:rsid w:val="00F875FB"/>
    <w:rsid w:val="00F87F80"/>
    <w:rsid w:val="00F90D4B"/>
    <w:rsid w:val="00F91D05"/>
    <w:rsid w:val="00F91F61"/>
    <w:rsid w:val="00F9250C"/>
    <w:rsid w:val="00F9457C"/>
    <w:rsid w:val="00F95023"/>
    <w:rsid w:val="00F957CC"/>
    <w:rsid w:val="00F95A7B"/>
    <w:rsid w:val="00F96740"/>
    <w:rsid w:val="00F96885"/>
    <w:rsid w:val="00F96D81"/>
    <w:rsid w:val="00F975A0"/>
    <w:rsid w:val="00F97725"/>
    <w:rsid w:val="00FA1717"/>
    <w:rsid w:val="00FA1BE3"/>
    <w:rsid w:val="00FA460C"/>
    <w:rsid w:val="00FA63D6"/>
    <w:rsid w:val="00FB06C4"/>
    <w:rsid w:val="00FB07A6"/>
    <w:rsid w:val="00FB0E6B"/>
    <w:rsid w:val="00FB0F23"/>
    <w:rsid w:val="00FB22F9"/>
    <w:rsid w:val="00FB2792"/>
    <w:rsid w:val="00FB3619"/>
    <w:rsid w:val="00FB4074"/>
    <w:rsid w:val="00FB5A88"/>
    <w:rsid w:val="00FB641B"/>
    <w:rsid w:val="00FB79E6"/>
    <w:rsid w:val="00FC00B5"/>
    <w:rsid w:val="00FC197C"/>
    <w:rsid w:val="00FC27CE"/>
    <w:rsid w:val="00FC2C0D"/>
    <w:rsid w:val="00FC2E21"/>
    <w:rsid w:val="00FC4941"/>
    <w:rsid w:val="00FC6099"/>
    <w:rsid w:val="00FC639D"/>
    <w:rsid w:val="00FC760C"/>
    <w:rsid w:val="00FC79C9"/>
    <w:rsid w:val="00FC7F4A"/>
    <w:rsid w:val="00FD0438"/>
    <w:rsid w:val="00FD087D"/>
    <w:rsid w:val="00FD0F42"/>
    <w:rsid w:val="00FD1A3F"/>
    <w:rsid w:val="00FD275E"/>
    <w:rsid w:val="00FD2A10"/>
    <w:rsid w:val="00FD3AFB"/>
    <w:rsid w:val="00FD52C7"/>
    <w:rsid w:val="00FD5860"/>
    <w:rsid w:val="00FD5EBF"/>
    <w:rsid w:val="00FD6FC2"/>
    <w:rsid w:val="00FE2868"/>
    <w:rsid w:val="00FE2DF4"/>
    <w:rsid w:val="00FE36E3"/>
    <w:rsid w:val="00FE3AE1"/>
    <w:rsid w:val="00FE4C54"/>
    <w:rsid w:val="00FE4E33"/>
    <w:rsid w:val="00FE51DC"/>
    <w:rsid w:val="00FF0760"/>
    <w:rsid w:val="00FF1FCC"/>
    <w:rsid w:val="00FF2095"/>
    <w:rsid w:val="00FF2EED"/>
    <w:rsid w:val="00FF31E1"/>
    <w:rsid w:val="00FF331D"/>
    <w:rsid w:val="00FF3947"/>
    <w:rsid w:val="00FF3B10"/>
    <w:rsid w:val="00FF3C19"/>
    <w:rsid w:val="00FF6B02"/>
    <w:rsid w:val="00FF6E3B"/>
    <w:rsid w:val="00FF70B0"/>
    <w:rsid w:val="00FF7D9E"/>
    <w:rsid w:val="010712BA"/>
    <w:rsid w:val="019B2499"/>
    <w:rsid w:val="01C97204"/>
    <w:rsid w:val="01DF0A18"/>
    <w:rsid w:val="02043FA5"/>
    <w:rsid w:val="022C0140"/>
    <w:rsid w:val="02B12149"/>
    <w:rsid w:val="033651FE"/>
    <w:rsid w:val="03F019D0"/>
    <w:rsid w:val="042A63D1"/>
    <w:rsid w:val="04D93857"/>
    <w:rsid w:val="04E8059F"/>
    <w:rsid w:val="054730EC"/>
    <w:rsid w:val="054A1E9D"/>
    <w:rsid w:val="05BD2F83"/>
    <w:rsid w:val="063F5EF2"/>
    <w:rsid w:val="06684D9A"/>
    <w:rsid w:val="06967A9E"/>
    <w:rsid w:val="0782768E"/>
    <w:rsid w:val="07983428"/>
    <w:rsid w:val="081828F4"/>
    <w:rsid w:val="08751A3B"/>
    <w:rsid w:val="08C76056"/>
    <w:rsid w:val="08E87B1A"/>
    <w:rsid w:val="08EB7267"/>
    <w:rsid w:val="090F5685"/>
    <w:rsid w:val="091405A9"/>
    <w:rsid w:val="09353655"/>
    <w:rsid w:val="093F0E0B"/>
    <w:rsid w:val="09957275"/>
    <w:rsid w:val="0A406997"/>
    <w:rsid w:val="0A756C7B"/>
    <w:rsid w:val="0A94499B"/>
    <w:rsid w:val="0A9B7668"/>
    <w:rsid w:val="0B185EBE"/>
    <w:rsid w:val="0B2E5C8F"/>
    <w:rsid w:val="0B680C63"/>
    <w:rsid w:val="0B917DE9"/>
    <w:rsid w:val="0C645A23"/>
    <w:rsid w:val="0C711935"/>
    <w:rsid w:val="0C9B4C9E"/>
    <w:rsid w:val="0CA55C99"/>
    <w:rsid w:val="0D0B59A1"/>
    <w:rsid w:val="0D0E39C5"/>
    <w:rsid w:val="0D42613B"/>
    <w:rsid w:val="0D4A2F91"/>
    <w:rsid w:val="0DB032E9"/>
    <w:rsid w:val="0DB35D0F"/>
    <w:rsid w:val="0DBB33C8"/>
    <w:rsid w:val="0DCD4337"/>
    <w:rsid w:val="0DD834C6"/>
    <w:rsid w:val="0E1C1EBE"/>
    <w:rsid w:val="0E2536C3"/>
    <w:rsid w:val="0E37042F"/>
    <w:rsid w:val="0E797771"/>
    <w:rsid w:val="0E837364"/>
    <w:rsid w:val="0EA975A9"/>
    <w:rsid w:val="0EAD374B"/>
    <w:rsid w:val="0F4041E6"/>
    <w:rsid w:val="0F7B625A"/>
    <w:rsid w:val="0F7F0837"/>
    <w:rsid w:val="0F875E26"/>
    <w:rsid w:val="0F94369F"/>
    <w:rsid w:val="0FAD2C30"/>
    <w:rsid w:val="0FCB60A0"/>
    <w:rsid w:val="0FCE00BF"/>
    <w:rsid w:val="10297BB8"/>
    <w:rsid w:val="1088120F"/>
    <w:rsid w:val="10C877FE"/>
    <w:rsid w:val="11260AA6"/>
    <w:rsid w:val="116E5FA5"/>
    <w:rsid w:val="11762653"/>
    <w:rsid w:val="119E04FA"/>
    <w:rsid w:val="11C3344A"/>
    <w:rsid w:val="11E343B9"/>
    <w:rsid w:val="125649EA"/>
    <w:rsid w:val="12816643"/>
    <w:rsid w:val="12FD436C"/>
    <w:rsid w:val="131F7589"/>
    <w:rsid w:val="13387F99"/>
    <w:rsid w:val="1397792D"/>
    <w:rsid w:val="13CE33E0"/>
    <w:rsid w:val="13E8217D"/>
    <w:rsid w:val="13FB1F9D"/>
    <w:rsid w:val="143F79AE"/>
    <w:rsid w:val="146B3117"/>
    <w:rsid w:val="147927C4"/>
    <w:rsid w:val="14AD6D9E"/>
    <w:rsid w:val="14F71518"/>
    <w:rsid w:val="14F76CBB"/>
    <w:rsid w:val="155E30C9"/>
    <w:rsid w:val="158E0D48"/>
    <w:rsid w:val="15D019C4"/>
    <w:rsid w:val="15FC3EA2"/>
    <w:rsid w:val="16834892"/>
    <w:rsid w:val="17156193"/>
    <w:rsid w:val="176B1535"/>
    <w:rsid w:val="179C6E1C"/>
    <w:rsid w:val="17C107D5"/>
    <w:rsid w:val="17D57945"/>
    <w:rsid w:val="17D950FB"/>
    <w:rsid w:val="1846690D"/>
    <w:rsid w:val="193270A0"/>
    <w:rsid w:val="19BC460F"/>
    <w:rsid w:val="19CC60A9"/>
    <w:rsid w:val="1A550A6F"/>
    <w:rsid w:val="1A7203FB"/>
    <w:rsid w:val="1A8427C0"/>
    <w:rsid w:val="1AF451E7"/>
    <w:rsid w:val="1B0E2351"/>
    <w:rsid w:val="1BC43BF3"/>
    <w:rsid w:val="1D2A0DE6"/>
    <w:rsid w:val="1D875AAA"/>
    <w:rsid w:val="1DC97904"/>
    <w:rsid w:val="1DE05A7F"/>
    <w:rsid w:val="1DFB31D0"/>
    <w:rsid w:val="1E417967"/>
    <w:rsid w:val="1E4D0173"/>
    <w:rsid w:val="1EA24B47"/>
    <w:rsid w:val="1EDF3542"/>
    <w:rsid w:val="1F284F0F"/>
    <w:rsid w:val="1F2B2452"/>
    <w:rsid w:val="1F9865D7"/>
    <w:rsid w:val="20270FAE"/>
    <w:rsid w:val="20FA0DE1"/>
    <w:rsid w:val="210364EA"/>
    <w:rsid w:val="21360BD3"/>
    <w:rsid w:val="21363F27"/>
    <w:rsid w:val="21962D28"/>
    <w:rsid w:val="219B1576"/>
    <w:rsid w:val="21BA11AA"/>
    <w:rsid w:val="22011A76"/>
    <w:rsid w:val="22184337"/>
    <w:rsid w:val="22622D04"/>
    <w:rsid w:val="226E1E89"/>
    <w:rsid w:val="22C82C62"/>
    <w:rsid w:val="22FE5C06"/>
    <w:rsid w:val="23123866"/>
    <w:rsid w:val="235E7D35"/>
    <w:rsid w:val="242701EA"/>
    <w:rsid w:val="24602744"/>
    <w:rsid w:val="24BF3486"/>
    <w:rsid w:val="258A19BD"/>
    <w:rsid w:val="25B47DBD"/>
    <w:rsid w:val="25D51315"/>
    <w:rsid w:val="26082E8F"/>
    <w:rsid w:val="26417588"/>
    <w:rsid w:val="26472C5B"/>
    <w:rsid w:val="268A2B5D"/>
    <w:rsid w:val="27067937"/>
    <w:rsid w:val="273B3883"/>
    <w:rsid w:val="27602351"/>
    <w:rsid w:val="27CB63A5"/>
    <w:rsid w:val="27DB55E2"/>
    <w:rsid w:val="27F56DDC"/>
    <w:rsid w:val="281B0895"/>
    <w:rsid w:val="2885583E"/>
    <w:rsid w:val="289A5D7D"/>
    <w:rsid w:val="293F1C30"/>
    <w:rsid w:val="297210DF"/>
    <w:rsid w:val="29AC017C"/>
    <w:rsid w:val="29CE0B24"/>
    <w:rsid w:val="29E775BA"/>
    <w:rsid w:val="2A190739"/>
    <w:rsid w:val="2A643B16"/>
    <w:rsid w:val="2A7C1921"/>
    <w:rsid w:val="2ABB1D74"/>
    <w:rsid w:val="2ACA2688"/>
    <w:rsid w:val="2AF248A9"/>
    <w:rsid w:val="2B022474"/>
    <w:rsid w:val="2B3250CD"/>
    <w:rsid w:val="2B3418D5"/>
    <w:rsid w:val="2B4D7B72"/>
    <w:rsid w:val="2B4F7152"/>
    <w:rsid w:val="2B6D7FF1"/>
    <w:rsid w:val="2BA56B9C"/>
    <w:rsid w:val="2BB30EFA"/>
    <w:rsid w:val="2C25676F"/>
    <w:rsid w:val="2C377044"/>
    <w:rsid w:val="2C946101"/>
    <w:rsid w:val="2CCB6B32"/>
    <w:rsid w:val="2CF129D5"/>
    <w:rsid w:val="2CF938AA"/>
    <w:rsid w:val="2DB1055A"/>
    <w:rsid w:val="2DD6676A"/>
    <w:rsid w:val="2E497583"/>
    <w:rsid w:val="2E995A2D"/>
    <w:rsid w:val="2EDF3EB0"/>
    <w:rsid w:val="2F2A66D4"/>
    <w:rsid w:val="2F804D8A"/>
    <w:rsid w:val="300F1C5A"/>
    <w:rsid w:val="304E3C9C"/>
    <w:rsid w:val="30746448"/>
    <w:rsid w:val="30AA440F"/>
    <w:rsid w:val="31584A7C"/>
    <w:rsid w:val="318C4FAC"/>
    <w:rsid w:val="31E65D68"/>
    <w:rsid w:val="31F74479"/>
    <w:rsid w:val="322C3908"/>
    <w:rsid w:val="322F57DE"/>
    <w:rsid w:val="32B70D10"/>
    <w:rsid w:val="33200781"/>
    <w:rsid w:val="333B368E"/>
    <w:rsid w:val="33D5432B"/>
    <w:rsid w:val="345501BD"/>
    <w:rsid w:val="345D757D"/>
    <w:rsid w:val="34DD3DE1"/>
    <w:rsid w:val="34F30733"/>
    <w:rsid w:val="34F96F2A"/>
    <w:rsid w:val="35107802"/>
    <w:rsid w:val="356B786D"/>
    <w:rsid w:val="35833607"/>
    <w:rsid w:val="358F57C4"/>
    <w:rsid w:val="35C70E03"/>
    <w:rsid w:val="363E7F70"/>
    <w:rsid w:val="36475D8C"/>
    <w:rsid w:val="36D97394"/>
    <w:rsid w:val="36E24EFC"/>
    <w:rsid w:val="37162E07"/>
    <w:rsid w:val="372A484F"/>
    <w:rsid w:val="37393C4D"/>
    <w:rsid w:val="375F6860"/>
    <w:rsid w:val="377B5CF2"/>
    <w:rsid w:val="37971319"/>
    <w:rsid w:val="38A67E9C"/>
    <w:rsid w:val="38C52407"/>
    <w:rsid w:val="38D4492E"/>
    <w:rsid w:val="38D7535D"/>
    <w:rsid w:val="39484F31"/>
    <w:rsid w:val="39755010"/>
    <w:rsid w:val="398362B1"/>
    <w:rsid w:val="39BA60AA"/>
    <w:rsid w:val="3A334650"/>
    <w:rsid w:val="3A516C40"/>
    <w:rsid w:val="3A720677"/>
    <w:rsid w:val="3A8B7460"/>
    <w:rsid w:val="3B4F0D16"/>
    <w:rsid w:val="3C240EA1"/>
    <w:rsid w:val="3C4F0B07"/>
    <w:rsid w:val="3CD97AC6"/>
    <w:rsid w:val="3DC0121E"/>
    <w:rsid w:val="3DCC7BFC"/>
    <w:rsid w:val="3DDF1CEB"/>
    <w:rsid w:val="3E766A9D"/>
    <w:rsid w:val="3E7F2A5C"/>
    <w:rsid w:val="3F0653CC"/>
    <w:rsid w:val="4006347E"/>
    <w:rsid w:val="401F0B03"/>
    <w:rsid w:val="4052609B"/>
    <w:rsid w:val="40D5546B"/>
    <w:rsid w:val="40F0695F"/>
    <w:rsid w:val="410D4F88"/>
    <w:rsid w:val="413744CC"/>
    <w:rsid w:val="41377F6E"/>
    <w:rsid w:val="41852E39"/>
    <w:rsid w:val="41C03FCE"/>
    <w:rsid w:val="428F4C62"/>
    <w:rsid w:val="42DA0666"/>
    <w:rsid w:val="43347D6C"/>
    <w:rsid w:val="436F0513"/>
    <w:rsid w:val="43965C7A"/>
    <w:rsid w:val="43BA4970"/>
    <w:rsid w:val="43EB6A14"/>
    <w:rsid w:val="43F43EF8"/>
    <w:rsid w:val="4409737A"/>
    <w:rsid w:val="44222514"/>
    <w:rsid w:val="44885A7D"/>
    <w:rsid w:val="44B61ECF"/>
    <w:rsid w:val="4500703E"/>
    <w:rsid w:val="454E56D8"/>
    <w:rsid w:val="45792F58"/>
    <w:rsid w:val="458A7B45"/>
    <w:rsid w:val="45DA2DF3"/>
    <w:rsid w:val="45DA7F79"/>
    <w:rsid w:val="463902AD"/>
    <w:rsid w:val="465C0527"/>
    <w:rsid w:val="466F0066"/>
    <w:rsid w:val="467C0864"/>
    <w:rsid w:val="46D52048"/>
    <w:rsid w:val="46D730EA"/>
    <w:rsid w:val="46EF52C9"/>
    <w:rsid w:val="47253AC1"/>
    <w:rsid w:val="477B2BE6"/>
    <w:rsid w:val="47804445"/>
    <w:rsid w:val="47971779"/>
    <w:rsid w:val="47A21A5E"/>
    <w:rsid w:val="47B041EB"/>
    <w:rsid w:val="47B77044"/>
    <w:rsid w:val="47CE7B29"/>
    <w:rsid w:val="47F35E39"/>
    <w:rsid w:val="48133FE9"/>
    <w:rsid w:val="485978F1"/>
    <w:rsid w:val="48984629"/>
    <w:rsid w:val="490971DB"/>
    <w:rsid w:val="492F3BD4"/>
    <w:rsid w:val="496907BB"/>
    <w:rsid w:val="49DF6224"/>
    <w:rsid w:val="49F90578"/>
    <w:rsid w:val="4A1D163A"/>
    <w:rsid w:val="4A4F2044"/>
    <w:rsid w:val="4AA468ED"/>
    <w:rsid w:val="4AA73A71"/>
    <w:rsid w:val="4B1216AC"/>
    <w:rsid w:val="4B1F304A"/>
    <w:rsid w:val="4B9235B6"/>
    <w:rsid w:val="4B9A60BE"/>
    <w:rsid w:val="4BBC7F30"/>
    <w:rsid w:val="4C3B0351"/>
    <w:rsid w:val="4CE75445"/>
    <w:rsid w:val="4D075368"/>
    <w:rsid w:val="4D9C1A9B"/>
    <w:rsid w:val="4E9D5A0E"/>
    <w:rsid w:val="4EF800E1"/>
    <w:rsid w:val="4F587827"/>
    <w:rsid w:val="4FB80CCB"/>
    <w:rsid w:val="4FE4265E"/>
    <w:rsid w:val="5002080E"/>
    <w:rsid w:val="500B4E80"/>
    <w:rsid w:val="506D64FB"/>
    <w:rsid w:val="506F17F4"/>
    <w:rsid w:val="50906D28"/>
    <w:rsid w:val="50934A5E"/>
    <w:rsid w:val="50EB2D90"/>
    <w:rsid w:val="50F22289"/>
    <w:rsid w:val="50F279CE"/>
    <w:rsid w:val="510E73B0"/>
    <w:rsid w:val="516979A6"/>
    <w:rsid w:val="516B1651"/>
    <w:rsid w:val="51A03660"/>
    <w:rsid w:val="51AE4846"/>
    <w:rsid w:val="52587C07"/>
    <w:rsid w:val="529E551E"/>
    <w:rsid w:val="52D92BC3"/>
    <w:rsid w:val="534618ED"/>
    <w:rsid w:val="535B6481"/>
    <w:rsid w:val="53634220"/>
    <w:rsid w:val="537A0903"/>
    <w:rsid w:val="53E749DF"/>
    <w:rsid w:val="54856E4F"/>
    <w:rsid w:val="559A4CC8"/>
    <w:rsid w:val="55B405A7"/>
    <w:rsid w:val="573131D8"/>
    <w:rsid w:val="57335062"/>
    <w:rsid w:val="57700553"/>
    <w:rsid w:val="582463EF"/>
    <w:rsid w:val="5848388E"/>
    <w:rsid w:val="58902987"/>
    <w:rsid w:val="58AE5CA4"/>
    <w:rsid w:val="593E6B6D"/>
    <w:rsid w:val="59885E8B"/>
    <w:rsid w:val="59DB2A7B"/>
    <w:rsid w:val="5A131284"/>
    <w:rsid w:val="5AED33B0"/>
    <w:rsid w:val="5AFC496D"/>
    <w:rsid w:val="5B38029A"/>
    <w:rsid w:val="5B5B53AD"/>
    <w:rsid w:val="5B8764B3"/>
    <w:rsid w:val="5B902F4E"/>
    <w:rsid w:val="5BA975C3"/>
    <w:rsid w:val="5BD13177"/>
    <w:rsid w:val="5BD8341D"/>
    <w:rsid w:val="5C003483"/>
    <w:rsid w:val="5C4B79D9"/>
    <w:rsid w:val="5C7B609E"/>
    <w:rsid w:val="5CC158D0"/>
    <w:rsid w:val="5D0349ED"/>
    <w:rsid w:val="5D0A21B8"/>
    <w:rsid w:val="5D763586"/>
    <w:rsid w:val="5DF216A6"/>
    <w:rsid w:val="5E740EA2"/>
    <w:rsid w:val="5F0F7504"/>
    <w:rsid w:val="5F125AAB"/>
    <w:rsid w:val="5F256770"/>
    <w:rsid w:val="5F6D1A03"/>
    <w:rsid w:val="600D06C0"/>
    <w:rsid w:val="60116CF1"/>
    <w:rsid w:val="60260EEE"/>
    <w:rsid w:val="60417C26"/>
    <w:rsid w:val="606E202A"/>
    <w:rsid w:val="61084A1A"/>
    <w:rsid w:val="611413C0"/>
    <w:rsid w:val="61414049"/>
    <w:rsid w:val="61490C54"/>
    <w:rsid w:val="624F705B"/>
    <w:rsid w:val="626620B9"/>
    <w:rsid w:val="628D483F"/>
    <w:rsid w:val="63857680"/>
    <w:rsid w:val="63D23B33"/>
    <w:rsid w:val="63D52D29"/>
    <w:rsid w:val="63FF65AE"/>
    <w:rsid w:val="64841366"/>
    <w:rsid w:val="65383129"/>
    <w:rsid w:val="65DF2C20"/>
    <w:rsid w:val="65E92804"/>
    <w:rsid w:val="65FB4D57"/>
    <w:rsid w:val="66033759"/>
    <w:rsid w:val="66057DD4"/>
    <w:rsid w:val="661A0A5C"/>
    <w:rsid w:val="66331FE6"/>
    <w:rsid w:val="66945EB7"/>
    <w:rsid w:val="66F863CF"/>
    <w:rsid w:val="67027893"/>
    <w:rsid w:val="67997EBA"/>
    <w:rsid w:val="67BF159E"/>
    <w:rsid w:val="67D461DD"/>
    <w:rsid w:val="67E672D1"/>
    <w:rsid w:val="680702A6"/>
    <w:rsid w:val="6816388D"/>
    <w:rsid w:val="6817430C"/>
    <w:rsid w:val="682248FE"/>
    <w:rsid w:val="686011AF"/>
    <w:rsid w:val="688D0BDE"/>
    <w:rsid w:val="68997312"/>
    <w:rsid w:val="68A40724"/>
    <w:rsid w:val="68F17A75"/>
    <w:rsid w:val="69337847"/>
    <w:rsid w:val="695256A4"/>
    <w:rsid w:val="698C60A7"/>
    <w:rsid w:val="69F45A82"/>
    <w:rsid w:val="6AF03E1F"/>
    <w:rsid w:val="6BB45E25"/>
    <w:rsid w:val="6C157F58"/>
    <w:rsid w:val="6D1B687E"/>
    <w:rsid w:val="6D284606"/>
    <w:rsid w:val="6D6809E7"/>
    <w:rsid w:val="6E653809"/>
    <w:rsid w:val="6E7156DE"/>
    <w:rsid w:val="6EE865F5"/>
    <w:rsid w:val="6EF37A14"/>
    <w:rsid w:val="6EF435B1"/>
    <w:rsid w:val="6F0E3202"/>
    <w:rsid w:val="6F40144B"/>
    <w:rsid w:val="6F5D12A8"/>
    <w:rsid w:val="6F5D3D93"/>
    <w:rsid w:val="6F65304D"/>
    <w:rsid w:val="6F8654C7"/>
    <w:rsid w:val="6F8A087A"/>
    <w:rsid w:val="6FFF6C0E"/>
    <w:rsid w:val="700F69CF"/>
    <w:rsid w:val="70412DF7"/>
    <w:rsid w:val="70A040DF"/>
    <w:rsid w:val="70D01FC6"/>
    <w:rsid w:val="70DE757D"/>
    <w:rsid w:val="70F7196B"/>
    <w:rsid w:val="70F9794B"/>
    <w:rsid w:val="71266762"/>
    <w:rsid w:val="71530273"/>
    <w:rsid w:val="716C03FD"/>
    <w:rsid w:val="718175CF"/>
    <w:rsid w:val="719B56EF"/>
    <w:rsid w:val="721C4B98"/>
    <w:rsid w:val="722460BC"/>
    <w:rsid w:val="72494370"/>
    <w:rsid w:val="725344A6"/>
    <w:rsid w:val="728B04B0"/>
    <w:rsid w:val="734063D7"/>
    <w:rsid w:val="73BE3773"/>
    <w:rsid w:val="73D40EB9"/>
    <w:rsid w:val="73EA0412"/>
    <w:rsid w:val="743B7255"/>
    <w:rsid w:val="744F6272"/>
    <w:rsid w:val="747A55EE"/>
    <w:rsid w:val="74CF7434"/>
    <w:rsid w:val="74EB444A"/>
    <w:rsid w:val="751709BA"/>
    <w:rsid w:val="754E33EF"/>
    <w:rsid w:val="757822AF"/>
    <w:rsid w:val="761816AB"/>
    <w:rsid w:val="76234F9A"/>
    <w:rsid w:val="764300E0"/>
    <w:rsid w:val="76927D17"/>
    <w:rsid w:val="76C07F9E"/>
    <w:rsid w:val="77B26ECF"/>
    <w:rsid w:val="77CD10A8"/>
    <w:rsid w:val="782D79B8"/>
    <w:rsid w:val="78C96A89"/>
    <w:rsid w:val="78DE6EDB"/>
    <w:rsid w:val="7905548E"/>
    <w:rsid w:val="791D0F01"/>
    <w:rsid w:val="79332C41"/>
    <w:rsid w:val="793770A6"/>
    <w:rsid w:val="79422CB1"/>
    <w:rsid w:val="79680C50"/>
    <w:rsid w:val="79AD3BE3"/>
    <w:rsid w:val="7A054849"/>
    <w:rsid w:val="7A843F50"/>
    <w:rsid w:val="7A913AC7"/>
    <w:rsid w:val="7A925B36"/>
    <w:rsid w:val="7AF647EC"/>
    <w:rsid w:val="7AFA6745"/>
    <w:rsid w:val="7B451228"/>
    <w:rsid w:val="7B6E2FD2"/>
    <w:rsid w:val="7B7C7FC7"/>
    <w:rsid w:val="7B9226A9"/>
    <w:rsid w:val="7BB06516"/>
    <w:rsid w:val="7BEE3229"/>
    <w:rsid w:val="7BF43E76"/>
    <w:rsid w:val="7BF81AD7"/>
    <w:rsid w:val="7C082064"/>
    <w:rsid w:val="7C355C3C"/>
    <w:rsid w:val="7C657654"/>
    <w:rsid w:val="7C6A7DC5"/>
    <w:rsid w:val="7D0238A8"/>
    <w:rsid w:val="7D2F076F"/>
    <w:rsid w:val="7D340F83"/>
    <w:rsid w:val="7D3B16E0"/>
    <w:rsid w:val="7D6E2D51"/>
    <w:rsid w:val="7D815A05"/>
    <w:rsid w:val="7D831F74"/>
    <w:rsid w:val="7DE26AB8"/>
    <w:rsid w:val="7DE7596F"/>
    <w:rsid w:val="7E790196"/>
    <w:rsid w:val="7E993DCA"/>
    <w:rsid w:val="7ECD0D93"/>
    <w:rsid w:val="7EDC61FD"/>
    <w:rsid w:val="7EEB21A1"/>
    <w:rsid w:val="7EF61992"/>
    <w:rsid w:val="7F76192C"/>
    <w:rsid w:val="7F917CB1"/>
    <w:rsid w:val="7FA626A5"/>
    <w:rsid w:val="7FDC0865"/>
    <w:rsid w:val="7FDF3025"/>
    <w:rsid w:val="7FED41DE"/>
    <w:rsid w:val="B7BFF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43"/>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57"/>
    <w:qFormat/>
    <w:uiPriority w:val="0"/>
    <w:pPr>
      <w:keepNext/>
      <w:keepLines/>
      <w:spacing w:line="600" w:lineRule="exact"/>
      <w:ind w:firstLine="643" w:firstLineChars="200"/>
      <w:outlineLvl w:val="2"/>
    </w:pPr>
    <w:rPr>
      <w:b/>
      <w:bCs/>
      <w:sz w:val="32"/>
      <w:szCs w:val="32"/>
    </w:rPr>
  </w:style>
  <w:style w:type="paragraph" w:styleId="5">
    <w:name w:val="heading 4"/>
    <w:basedOn w:val="1"/>
    <w:next w:val="1"/>
    <w:link w:val="38"/>
    <w:qFormat/>
    <w:uiPriority w:val="0"/>
    <w:pPr>
      <w:tabs>
        <w:tab w:val="left" w:pos="2155"/>
      </w:tabs>
      <w:spacing w:before="120" w:line="360" w:lineRule="auto"/>
      <w:ind w:left="2155" w:hanging="1078"/>
      <w:outlineLvl w:val="3"/>
    </w:pPr>
    <w:rPr>
      <w:rFonts w:ascii="Arial" w:eastAsia="黑体"/>
      <w:kern w:val="0"/>
      <w:sz w:val="28"/>
      <w:szCs w:val="20"/>
    </w:rPr>
  </w:style>
  <w:style w:type="paragraph" w:styleId="6">
    <w:name w:val="heading 5"/>
    <w:basedOn w:val="1"/>
    <w:next w:val="1"/>
    <w:link w:val="44"/>
    <w:qFormat/>
    <w:uiPriority w:val="0"/>
    <w:pPr>
      <w:keepNext/>
      <w:keepLines/>
      <w:spacing w:before="280" w:after="290" w:line="372" w:lineRule="auto"/>
      <w:outlineLvl w:val="4"/>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Document Map"/>
    <w:basedOn w:val="1"/>
    <w:semiHidden/>
    <w:qFormat/>
    <w:uiPriority w:val="0"/>
    <w:pPr>
      <w:shd w:val="clear" w:color="auto" w:fill="000080"/>
    </w:pPr>
  </w:style>
  <w:style w:type="paragraph" w:styleId="8">
    <w:name w:val="annotation text"/>
    <w:basedOn w:val="1"/>
    <w:link w:val="46"/>
    <w:qFormat/>
    <w:uiPriority w:val="0"/>
    <w:pPr>
      <w:jc w:val="left"/>
    </w:pPr>
  </w:style>
  <w:style w:type="paragraph" w:styleId="9">
    <w:name w:val="Body Text 3"/>
    <w:basedOn w:val="1"/>
    <w:link w:val="61"/>
    <w:unhideWhenUsed/>
    <w:qFormat/>
    <w:uiPriority w:val="0"/>
    <w:pPr>
      <w:spacing w:line="500" w:lineRule="exact"/>
    </w:pPr>
    <w:rPr>
      <w:rFonts w:eastAsia="仿宋_GB2312"/>
      <w:kern w:val="0"/>
      <w:sz w:val="28"/>
      <w:szCs w:val="20"/>
    </w:rPr>
  </w:style>
  <w:style w:type="paragraph" w:styleId="10">
    <w:name w:val="Body Text"/>
    <w:basedOn w:val="1"/>
    <w:link w:val="40"/>
    <w:unhideWhenUsed/>
    <w:qFormat/>
    <w:uiPriority w:val="0"/>
    <w:rPr>
      <w:rFonts w:ascii="金山简黑体" w:hAnsi="Courier New" w:eastAsia="金山简黑体"/>
      <w:b/>
      <w:spacing w:val="-8"/>
      <w:kern w:val="0"/>
      <w:sz w:val="44"/>
      <w:szCs w:val="20"/>
    </w:rPr>
  </w:style>
  <w:style w:type="paragraph" w:styleId="11">
    <w:name w:val="Body Text Indent"/>
    <w:basedOn w:val="1"/>
    <w:link w:val="41"/>
    <w:qFormat/>
    <w:uiPriority w:val="0"/>
    <w:pPr>
      <w:spacing w:line="200" w:lineRule="exact"/>
      <w:ind w:firstLine="301"/>
    </w:pPr>
    <w:rPr>
      <w:rFonts w:ascii="宋体" w:hAnsi="Courier New"/>
      <w:spacing w:val="-4"/>
      <w:sz w:val="18"/>
      <w:szCs w:val="20"/>
    </w:rPr>
  </w:style>
  <w:style w:type="paragraph" w:styleId="12">
    <w:name w:val="List 2"/>
    <w:basedOn w:val="1"/>
    <w:qFormat/>
    <w:uiPriority w:val="0"/>
    <w:pPr>
      <w:ind w:left="100" w:leftChars="200" w:hanging="200" w:hangingChars="200"/>
    </w:pPr>
    <w:rPr>
      <w:sz w:val="28"/>
    </w:rPr>
  </w:style>
  <w:style w:type="paragraph" w:styleId="13">
    <w:name w:val="Plain Text"/>
    <w:basedOn w:val="1"/>
    <w:link w:val="52"/>
    <w:qFormat/>
    <w:uiPriority w:val="0"/>
    <w:rPr>
      <w:rFonts w:ascii="宋体" w:hAnsi="Courier New"/>
      <w:szCs w:val="20"/>
    </w:rPr>
  </w:style>
  <w:style w:type="paragraph" w:styleId="14">
    <w:name w:val="Date"/>
    <w:basedOn w:val="1"/>
    <w:next w:val="1"/>
    <w:link w:val="53"/>
    <w:qFormat/>
    <w:uiPriority w:val="0"/>
    <w:pPr>
      <w:ind w:left="100" w:leftChars="2500"/>
    </w:pPr>
  </w:style>
  <w:style w:type="paragraph" w:styleId="15">
    <w:name w:val="Body Text Indent 2"/>
    <w:basedOn w:val="1"/>
    <w:link w:val="54"/>
    <w:qFormat/>
    <w:uiPriority w:val="0"/>
    <w:pPr>
      <w:spacing w:after="120" w:line="480" w:lineRule="auto"/>
      <w:ind w:left="420" w:leftChars="200"/>
    </w:pPr>
  </w:style>
  <w:style w:type="paragraph" w:styleId="16">
    <w:name w:val="Balloon Text"/>
    <w:basedOn w:val="1"/>
    <w:qFormat/>
    <w:uiPriority w:val="0"/>
    <w:rPr>
      <w:sz w:val="18"/>
      <w:szCs w:val="18"/>
    </w:rPr>
  </w:style>
  <w:style w:type="paragraph" w:styleId="17">
    <w:name w:val="footer"/>
    <w:basedOn w:val="1"/>
    <w:link w:val="60"/>
    <w:qFormat/>
    <w:uiPriority w:val="99"/>
    <w:pPr>
      <w:tabs>
        <w:tab w:val="center" w:pos="4153"/>
        <w:tab w:val="right" w:pos="8306"/>
      </w:tabs>
      <w:snapToGrid w:val="0"/>
      <w:jc w:val="left"/>
    </w:pPr>
    <w:rPr>
      <w:sz w:val="18"/>
      <w:szCs w:val="18"/>
    </w:rPr>
  </w:style>
  <w:style w:type="paragraph" w:styleId="18">
    <w:name w:val="header"/>
    <w:basedOn w:val="1"/>
    <w:link w:val="39"/>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b/>
      <w:bCs/>
      <w:caps/>
      <w:sz w:val="20"/>
      <w:szCs w:val="20"/>
    </w:rPr>
  </w:style>
  <w:style w:type="paragraph" w:styleId="20">
    <w:name w:val="Subtitle"/>
    <w:basedOn w:val="1"/>
    <w:next w:val="1"/>
    <w:link w:val="58"/>
    <w:qFormat/>
    <w:uiPriority w:val="0"/>
    <w:pPr>
      <w:spacing w:before="240" w:after="60" w:line="312" w:lineRule="auto"/>
      <w:jc w:val="center"/>
      <w:outlineLvl w:val="1"/>
    </w:pPr>
    <w:rPr>
      <w:rFonts w:ascii="Cambria" w:hAnsi="Cambria"/>
      <w:b/>
      <w:bCs/>
      <w:kern w:val="28"/>
      <w:sz w:val="32"/>
      <w:szCs w:val="32"/>
    </w:rPr>
  </w:style>
  <w:style w:type="paragraph" w:styleId="21">
    <w:name w:val="footnote text"/>
    <w:basedOn w:val="1"/>
    <w:semiHidden/>
    <w:qFormat/>
    <w:uiPriority w:val="0"/>
    <w:pPr>
      <w:snapToGrid w:val="0"/>
      <w:jc w:val="left"/>
    </w:pPr>
    <w:rPr>
      <w:sz w:val="18"/>
      <w:szCs w:val="18"/>
    </w:rPr>
  </w:style>
  <w:style w:type="paragraph" w:styleId="22">
    <w:name w:val="toc 2"/>
    <w:basedOn w:val="1"/>
    <w:next w:val="1"/>
    <w:qFormat/>
    <w:uiPriority w:val="39"/>
    <w:pPr>
      <w:tabs>
        <w:tab w:val="right" w:leader="dot" w:pos="9628"/>
      </w:tabs>
      <w:ind w:left="420" w:firstLine="120"/>
      <w:jc w:val="left"/>
    </w:pPr>
    <w:rPr>
      <w:smallCaps/>
      <w:sz w:val="20"/>
      <w:szCs w:val="20"/>
    </w:rPr>
  </w:style>
  <w:style w:type="paragraph" w:styleId="23">
    <w:name w:val="Body Text 2"/>
    <w:basedOn w:val="1"/>
    <w:link w:val="49"/>
    <w:unhideWhenUsed/>
    <w:qFormat/>
    <w:uiPriority w:val="0"/>
    <w:pPr>
      <w:jc w:val="center"/>
    </w:pPr>
    <w:rPr>
      <w:rFonts w:hAnsi="宋体"/>
      <w:kern w:val="0"/>
      <w:sz w:val="20"/>
    </w:rPr>
  </w:style>
  <w:style w:type="paragraph" w:styleId="24">
    <w:name w:val="HTML Preformatted"/>
    <w:basedOn w:val="1"/>
    <w:link w:val="56"/>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6">
    <w:name w:val="Title"/>
    <w:basedOn w:val="1"/>
    <w:qFormat/>
    <w:uiPriority w:val="0"/>
    <w:pPr>
      <w:spacing w:beforeLines="30" w:afterLines="30" w:line="360" w:lineRule="auto"/>
      <w:jc w:val="center"/>
      <w:outlineLvl w:val="0"/>
    </w:pPr>
    <w:rPr>
      <w:rFonts w:ascii="Arial" w:hAnsi="Arial"/>
      <w:b/>
      <w:bCs/>
      <w:sz w:val="32"/>
      <w:szCs w:val="32"/>
    </w:rPr>
  </w:style>
  <w:style w:type="paragraph" w:styleId="27">
    <w:name w:val="annotation subject"/>
    <w:basedOn w:val="8"/>
    <w:next w:val="8"/>
    <w:link w:val="45"/>
    <w:qFormat/>
    <w:uiPriority w:val="0"/>
  </w:style>
  <w:style w:type="table" w:styleId="29">
    <w:name w:val="Table Grid"/>
    <w:basedOn w:val="28"/>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Emphasis"/>
    <w:basedOn w:val="30"/>
    <w:qFormat/>
    <w:uiPriority w:val="20"/>
    <w:rPr>
      <w:i/>
      <w:iCs/>
    </w:rPr>
  </w:style>
  <w:style w:type="character" w:styleId="35">
    <w:name w:val="Hyperlink"/>
    <w:qFormat/>
    <w:uiPriority w:val="99"/>
    <w:rPr>
      <w:color w:val="0000FF"/>
      <w:u w:val="single"/>
    </w:rPr>
  </w:style>
  <w:style w:type="character" w:styleId="36">
    <w:name w:val="annotation reference"/>
    <w:qFormat/>
    <w:uiPriority w:val="0"/>
    <w:rPr>
      <w:sz w:val="21"/>
      <w:szCs w:val="21"/>
    </w:rPr>
  </w:style>
  <w:style w:type="character" w:customStyle="1" w:styleId="37">
    <w:name w:val="Char Char7"/>
    <w:qFormat/>
    <w:locked/>
    <w:uiPriority w:val="0"/>
    <w:rPr>
      <w:rFonts w:ascii="宋体" w:hAnsi="宋体" w:eastAsia="宋体"/>
      <w:sz w:val="24"/>
      <w:lang w:bidi="ar-SA"/>
    </w:rPr>
  </w:style>
  <w:style w:type="character" w:customStyle="1" w:styleId="38">
    <w:name w:val="标题 4 字符"/>
    <w:link w:val="5"/>
    <w:semiHidden/>
    <w:qFormat/>
    <w:uiPriority w:val="0"/>
    <w:rPr>
      <w:rFonts w:ascii="Arial" w:eastAsia="黑体"/>
      <w:sz w:val="28"/>
      <w:lang w:val="en-US" w:eastAsia="zh-CN" w:bidi="ar-SA"/>
    </w:rPr>
  </w:style>
  <w:style w:type="character" w:customStyle="1" w:styleId="39">
    <w:name w:val="页眉 字符"/>
    <w:link w:val="18"/>
    <w:semiHidden/>
    <w:qFormat/>
    <w:uiPriority w:val="0"/>
    <w:rPr>
      <w:rFonts w:eastAsia="宋体"/>
      <w:kern w:val="2"/>
      <w:sz w:val="18"/>
      <w:szCs w:val="18"/>
      <w:lang w:val="en-US" w:eastAsia="zh-CN" w:bidi="ar-SA"/>
    </w:rPr>
  </w:style>
  <w:style w:type="character" w:customStyle="1" w:styleId="40">
    <w:name w:val="正文文本 字符"/>
    <w:link w:val="10"/>
    <w:semiHidden/>
    <w:qFormat/>
    <w:uiPriority w:val="0"/>
    <w:rPr>
      <w:rFonts w:ascii="金山简黑体" w:hAnsi="Courier New" w:eastAsia="金山简黑体"/>
      <w:b/>
      <w:spacing w:val="-8"/>
      <w:sz w:val="44"/>
      <w:lang w:bidi="ar-SA"/>
    </w:rPr>
  </w:style>
  <w:style w:type="character" w:customStyle="1" w:styleId="41">
    <w:name w:val="正文文本缩进 字符"/>
    <w:link w:val="11"/>
    <w:qFormat/>
    <w:locked/>
    <w:uiPriority w:val="0"/>
    <w:rPr>
      <w:rFonts w:ascii="宋体" w:hAnsi="Courier New"/>
      <w:spacing w:val="-4"/>
      <w:kern w:val="2"/>
      <w:sz w:val="18"/>
    </w:rPr>
  </w:style>
  <w:style w:type="character" w:customStyle="1" w:styleId="42">
    <w:name w:val="op-map-singlepoint-info-right"/>
    <w:basedOn w:val="30"/>
    <w:qFormat/>
    <w:uiPriority w:val="0"/>
  </w:style>
  <w:style w:type="character" w:customStyle="1" w:styleId="43">
    <w:name w:val="标题 2 字符"/>
    <w:link w:val="3"/>
    <w:semiHidden/>
    <w:qFormat/>
    <w:uiPriority w:val="0"/>
    <w:rPr>
      <w:rFonts w:ascii="Arial" w:hAnsi="Arial" w:eastAsia="黑体"/>
      <w:b/>
      <w:bCs/>
      <w:kern w:val="2"/>
      <w:sz w:val="32"/>
      <w:szCs w:val="32"/>
      <w:lang w:val="en-US" w:eastAsia="zh-CN" w:bidi="ar-SA"/>
    </w:rPr>
  </w:style>
  <w:style w:type="character" w:customStyle="1" w:styleId="44">
    <w:name w:val="标题 5 字符"/>
    <w:link w:val="6"/>
    <w:qFormat/>
    <w:uiPriority w:val="0"/>
    <w:rPr>
      <w:rFonts w:eastAsia="宋体"/>
      <w:b/>
      <w:bCs/>
      <w:kern w:val="2"/>
      <w:sz w:val="28"/>
      <w:szCs w:val="28"/>
      <w:lang w:val="en-US" w:eastAsia="zh-CN" w:bidi="ar-SA"/>
    </w:rPr>
  </w:style>
  <w:style w:type="character" w:customStyle="1" w:styleId="45">
    <w:name w:val="批注主题 字符"/>
    <w:basedOn w:val="46"/>
    <w:link w:val="27"/>
    <w:qFormat/>
    <w:uiPriority w:val="0"/>
    <w:rPr>
      <w:kern w:val="2"/>
      <w:sz w:val="21"/>
      <w:szCs w:val="24"/>
    </w:rPr>
  </w:style>
  <w:style w:type="character" w:customStyle="1" w:styleId="46">
    <w:name w:val="批注文字 字符"/>
    <w:link w:val="8"/>
    <w:qFormat/>
    <w:uiPriority w:val="0"/>
    <w:rPr>
      <w:kern w:val="2"/>
      <w:sz w:val="21"/>
      <w:szCs w:val="24"/>
    </w:rPr>
  </w:style>
  <w:style w:type="character" w:customStyle="1" w:styleId="47">
    <w:name w:val="纯文本 Char1"/>
    <w:qFormat/>
    <w:uiPriority w:val="0"/>
    <w:rPr>
      <w:rFonts w:ascii="宋体" w:hAnsi="Courier New" w:eastAsia="宋体"/>
      <w:kern w:val="2"/>
      <w:sz w:val="21"/>
      <w:lang w:val="en-US" w:eastAsia="zh-CN" w:bidi="ar-SA"/>
    </w:rPr>
  </w:style>
  <w:style w:type="character" w:customStyle="1" w:styleId="48">
    <w:name w:val="op-map-singlepoint-info-right1"/>
    <w:basedOn w:val="30"/>
    <w:qFormat/>
    <w:uiPriority w:val="0"/>
  </w:style>
  <w:style w:type="character" w:customStyle="1" w:styleId="49">
    <w:name w:val="正文文本 2 字符"/>
    <w:link w:val="23"/>
    <w:semiHidden/>
    <w:qFormat/>
    <w:uiPriority w:val="0"/>
    <w:rPr>
      <w:rFonts w:hAnsi="宋体" w:eastAsia="宋体"/>
      <w:szCs w:val="24"/>
      <w:lang w:bidi="ar-SA"/>
    </w:rPr>
  </w:style>
  <w:style w:type="character" w:customStyle="1" w:styleId="50">
    <w:name w:val="普通文字 Char Char1"/>
    <w:qFormat/>
    <w:uiPriority w:val="0"/>
    <w:rPr>
      <w:rFonts w:ascii="宋体" w:hAnsi="Courier New" w:eastAsia="宋体"/>
      <w:kern w:val="2"/>
      <w:sz w:val="21"/>
      <w:lang w:val="en-US" w:eastAsia="zh-CN" w:bidi="ar-SA"/>
    </w:rPr>
  </w:style>
  <w:style w:type="character" w:customStyle="1" w:styleId="51">
    <w:name w:val="apple-converted-space"/>
    <w:basedOn w:val="30"/>
    <w:qFormat/>
    <w:uiPriority w:val="0"/>
  </w:style>
  <w:style w:type="character" w:customStyle="1" w:styleId="52">
    <w:name w:val="纯文本 字符"/>
    <w:link w:val="13"/>
    <w:qFormat/>
    <w:uiPriority w:val="0"/>
    <w:rPr>
      <w:rFonts w:ascii="宋体" w:hAnsi="Courier New" w:eastAsia="宋体"/>
      <w:kern w:val="2"/>
      <w:sz w:val="21"/>
      <w:lang w:val="en-US" w:eastAsia="zh-CN" w:bidi="ar-SA"/>
    </w:rPr>
  </w:style>
  <w:style w:type="character" w:customStyle="1" w:styleId="53">
    <w:name w:val="日期 字符"/>
    <w:link w:val="14"/>
    <w:semiHidden/>
    <w:qFormat/>
    <w:uiPriority w:val="0"/>
    <w:rPr>
      <w:rFonts w:eastAsia="宋体"/>
      <w:kern w:val="2"/>
      <w:sz w:val="21"/>
      <w:szCs w:val="24"/>
      <w:lang w:val="en-US" w:eastAsia="zh-CN" w:bidi="ar-SA"/>
    </w:rPr>
  </w:style>
  <w:style w:type="character" w:customStyle="1" w:styleId="54">
    <w:name w:val="正文文本缩进 2 字符"/>
    <w:link w:val="15"/>
    <w:semiHidden/>
    <w:qFormat/>
    <w:uiPriority w:val="0"/>
    <w:rPr>
      <w:rFonts w:eastAsia="宋体"/>
      <w:kern w:val="2"/>
      <w:sz w:val="21"/>
      <w:szCs w:val="24"/>
      <w:lang w:val="en-US" w:eastAsia="zh-CN" w:bidi="ar-SA"/>
    </w:rPr>
  </w:style>
  <w:style w:type="character" w:customStyle="1" w:styleId="55">
    <w:name w:val="标题 1 字符"/>
    <w:link w:val="2"/>
    <w:qFormat/>
    <w:uiPriority w:val="0"/>
    <w:rPr>
      <w:rFonts w:eastAsia="宋体"/>
      <w:b/>
      <w:bCs/>
      <w:kern w:val="44"/>
      <w:sz w:val="44"/>
      <w:szCs w:val="44"/>
      <w:lang w:val="en-US" w:eastAsia="zh-CN" w:bidi="ar-SA"/>
    </w:rPr>
  </w:style>
  <w:style w:type="character" w:customStyle="1" w:styleId="56">
    <w:name w:val="HTML 预设格式 字符"/>
    <w:link w:val="24"/>
    <w:semiHidden/>
    <w:qFormat/>
    <w:uiPriority w:val="0"/>
    <w:rPr>
      <w:rFonts w:ascii="宋体" w:hAnsi="宋体" w:eastAsia="宋体"/>
      <w:sz w:val="24"/>
      <w:szCs w:val="24"/>
      <w:lang w:bidi="ar-SA"/>
    </w:rPr>
  </w:style>
  <w:style w:type="character" w:customStyle="1" w:styleId="57">
    <w:name w:val="标题 3 字符"/>
    <w:link w:val="4"/>
    <w:semiHidden/>
    <w:qFormat/>
    <w:uiPriority w:val="0"/>
    <w:rPr>
      <w:rFonts w:eastAsia="宋体"/>
      <w:b/>
      <w:bCs/>
      <w:kern w:val="2"/>
      <w:sz w:val="32"/>
      <w:szCs w:val="32"/>
      <w:lang w:val="en-US" w:eastAsia="zh-CN" w:bidi="ar-SA"/>
    </w:rPr>
  </w:style>
  <w:style w:type="character" w:customStyle="1" w:styleId="58">
    <w:name w:val="副标题 字符"/>
    <w:link w:val="20"/>
    <w:qFormat/>
    <w:uiPriority w:val="0"/>
    <w:rPr>
      <w:rFonts w:ascii="Cambria" w:hAnsi="Cambria" w:eastAsia="宋体"/>
      <w:b/>
      <w:bCs/>
      <w:kern w:val="28"/>
      <w:sz w:val="32"/>
      <w:szCs w:val="32"/>
      <w:lang w:val="en-US" w:eastAsia="zh-CN" w:bidi="ar-SA"/>
    </w:rPr>
  </w:style>
  <w:style w:type="character" w:customStyle="1" w:styleId="59">
    <w:name w:val="批注文字 Char1"/>
    <w:semiHidden/>
    <w:qFormat/>
    <w:locked/>
    <w:uiPriority w:val="0"/>
    <w:rPr>
      <w:kern w:val="2"/>
      <w:sz w:val="21"/>
      <w:szCs w:val="24"/>
    </w:rPr>
  </w:style>
  <w:style w:type="character" w:customStyle="1" w:styleId="60">
    <w:name w:val="页脚 字符"/>
    <w:link w:val="17"/>
    <w:qFormat/>
    <w:uiPriority w:val="99"/>
    <w:rPr>
      <w:rFonts w:eastAsia="宋体"/>
      <w:kern w:val="2"/>
      <w:sz w:val="18"/>
      <w:szCs w:val="18"/>
      <w:lang w:val="en-US" w:eastAsia="zh-CN" w:bidi="ar-SA"/>
    </w:rPr>
  </w:style>
  <w:style w:type="character" w:customStyle="1" w:styleId="61">
    <w:name w:val="正文文本 3 字符"/>
    <w:link w:val="9"/>
    <w:semiHidden/>
    <w:qFormat/>
    <w:uiPriority w:val="0"/>
    <w:rPr>
      <w:rFonts w:eastAsia="仿宋_GB2312"/>
      <w:sz w:val="28"/>
      <w:lang w:bidi="ar-SA"/>
    </w:rPr>
  </w:style>
  <w:style w:type="paragraph" w:customStyle="1" w:styleId="62">
    <w:name w:val="layout_standard"/>
    <w:basedOn w:val="21"/>
    <w:qFormat/>
    <w:uiPriority w:val="0"/>
    <w:pPr>
      <w:widowControl/>
      <w:snapToGrid/>
    </w:pPr>
    <w:rPr>
      <w:rFonts w:ascii="Arial" w:hAnsi="Arial"/>
      <w:b/>
      <w:kern w:val="0"/>
      <w:sz w:val="36"/>
      <w:szCs w:val="20"/>
      <w:lang w:val="en-GB" w:eastAsia="de-DE"/>
    </w:rPr>
  </w:style>
  <w:style w:type="paragraph" w:customStyle="1" w:styleId="63">
    <w:name w:val="Char Char Char Char Char Char Char Char Char Char Char Char"/>
    <w:basedOn w:val="1"/>
    <w:qFormat/>
    <w:uiPriority w:val="0"/>
    <w:pPr>
      <w:widowControl/>
      <w:spacing w:after="160" w:line="240" w:lineRule="exact"/>
      <w:jc w:val="left"/>
    </w:pPr>
  </w:style>
  <w:style w:type="paragraph" w:customStyle="1" w:styleId="64">
    <w:name w:val="Char Char Char Char Char Char Char"/>
    <w:basedOn w:val="1"/>
    <w:qFormat/>
    <w:uiPriority w:val="0"/>
  </w:style>
  <w:style w:type="paragraph" w:customStyle="1" w:styleId="65">
    <w:name w:val="layout_Position"/>
    <w:basedOn w:val="1"/>
    <w:qFormat/>
    <w:uiPriority w:val="0"/>
    <w:pPr>
      <w:widowControl/>
      <w:jc w:val="left"/>
    </w:pPr>
    <w:rPr>
      <w:rFonts w:ascii="Arial" w:hAnsi="Arial" w:eastAsia="Times New Roman"/>
      <w:kern w:val="0"/>
      <w:sz w:val="22"/>
      <w:szCs w:val="20"/>
      <w:lang w:val="en-GB" w:eastAsia="de-DE"/>
    </w:rPr>
  </w:style>
  <w:style w:type="paragraph" w:customStyle="1" w:styleId="66">
    <w:name w:val="p0"/>
    <w:basedOn w:val="1"/>
    <w:qFormat/>
    <w:uiPriority w:val="0"/>
    <w:pPr>
      <w:widowControl/>
    </w:pPr>
    <w:rPr>
      <w:kern w:val="0"/>
      <w:szCs w:val="21"/>
    </w:rPr>
  </w:style>
  <w:style w:type="paragraph" w:customStyle="1" w:styleId="67">
    <w:name w:val="正文段"/>
    <w:basedOn w:val="1"/>
    <w:qFormat/>
    <w:uiPriority w:val="0"/>
    <w:pPr>
      <w:widowControl/>
      <w:snapToGrid w:val="0"/>
      <w:spacing w:afterLines="50"/>
      <w:ind w:firstLine="200" w:firstLineChars="200"/>
    </w:pPr>
    <w:rPr>
      <w:kern w:val="0"/>
      <w:sz w:val="24"/>
      <w:szCs w:val="20"/>
    </w:rPr>
  </w:style>
  <w:style w:type="paragraph" w:customStyle="1" w:styleId="68">
    <w:name w:val="bb"/>
    <w:basedOn w:val="1"/>
    <w:qFormat/>
    <w:uiPriority w:val="0"/>
    <w:pPr>
      <w:widowControl/>
      <w:spacing w:before="100" w:beforeAutospacing="1" w:after="100" w:afterAutospacing="1"/>
      <w:jc w:val="left"/>
    </w:pPr>
    <w:rPr>
      <w:rFonts w:ascii="宋体" w:hAnsi="宋体"/>
      <w:kern w:val="0"/>
      <w:sz w:val="24"/>
    </w:rPr>
  </w:style>
  <w:style w:type="paragraph" w:customStyle="1" w:styleId="69">
    <w:name w:val="样式 标题 1 + 居中 段前: 0 磅 段后: 0 磅 行距: 固定值 30 磅"/>
    <w:basedOn w:val="2"/>
    <w:qFormat/>
    <w:uiPriority w:val="0"/>
    <w:pPr>
      <w:spacing w:before="0" w:after="0" w:line="600" w:lineRule="exact"/>
      <w:jc w:val="center"/>
    </w:pPr>
    <w:rPr>
      <w:rFonts w:cs="宋体"/>
      <w:szCs w:val="20"/>
    </w:rPr>
  </w:style>
  <w:style w:type="paragraph" w:customStyle="1" w:styleId="70">
    <w:name w:val="Table Text"/>
    <w:basedOn w:val="1"/>
    <w:qFormat/>
    <w:uiPriority w:val="99"/>
    <w:pPr>
      <w:widowControl/>
      <w:spacing w:before="60" w:after="60"/>
      <w:jc w:val="center"/>
    </w:pPr>
    <w:rPr>
      <w:kern w:val="0"/>
      <w:sz w:val="24"/>
      <w:lang w:eastAsia="en-US"/>
    </w:rPr>
  </w:style>
  <w:style w:type="paragraph" w:customStyle="1" w:styleId="71">
    <w:name w:val="列出段落1"/>
    <w:basedOn w:val="1"/>
    <w:qFormat/>
    <w:uiPriority w:val="0"/>
    <w:pPr>
      <w:ind w:firstLine="420" w:firstLineChars="200"/>
    </w:pPr>
    <w:rPr>
      <w:rFonts w:ascii="Calibri" w:hAnsi="Calibri"/>
      <w:szCs w:val="22"/>
    </w:rPr>
  </w:style>
  <w:style w:type="paragraph" w:customStyle="1" w:styleId="72">
    <w:name w:val="样式 标题 2 + 非加粗 首行缩进:  2 字符"/>
    <w:basedOn w:val="3"/>
    <w:qFormat/>
    <w:uiPriority w:val="0"/>
    <w:pPr>
      <w:spacing w:before="0" w:after="0" w:line="600" w:lineRule="exact"/>
      <w:ind w:firstLine="640" w:firstLineChars="200"/>
      <w:jc w:val="left"/>
    </w:pPr>
    <w:rPr>
      <w:rFonts w:cs="宋体"/>
      <w:b w:val="0"/>
      <w:bCs w:val="0"/>
      <w:szCs w:val="20"/>
    </w:rPr>
  </w:style>
  <w:style w:type="paragraph" w:customStyle="1" w:styleId="73">
    <w:name w:val="Formatvorlage layout_standard + 10 pt Zentriert"/>
    <w:basedOn w:val="62"/>
    <w:qFormat/>
    <w:uiPriority w:val="0"/>
    <w:pPr>
      <w:jc w:val="center"/>
    </w:pPr>
    <w:rPr>
      <w:rFonts w:eastAsia="Times New Roman"/>
      <w:bCs/>
      <w:sz w:val="22"/>
    </w:rPr>
  </w:style>
  <w:style w:type="paragraph" w:customStyle="1" w:styleId="74">
    <w:name w:val="55"/>
    <w:basedOn w:val="1"/>
    <w:qFormat/>
    <w:uiPriority w:val="0"/>
    <w:pPr>
      <w:spacing w:line="500" w:lineRule="exact"/>
      <w:ind w:firstLine="629"/>
    </w:pPr>
    <w:rPr>
      <w:rFonts w:ascii="仿宋_GB2312" w:eastAsia="仿宋_GB2312"/>
      <w:sz w:val="28"/>
      <w:szCs w:val="28"/>
    </w:rPr>
  </w:style>
  <w:style w:type="paragraph" w:customStyle="1" w:styleId="75">
    <w:name w:val="Formatvorlage layout_standard + 10 pt"/>
    <w:basedOn w:val="62"/>
    <w:qFormat/>
    <w:uiPriority w:val="0"/>
    <w:rPr>
      <w:bCs/>
      <w:sz w:val="22"/>
    </w:rPr>
  </w:style>
  <w:style w:type="paragraph" w:customStyle="1" w:styleId="76">
    <w:name w:val="默认段落字体 Para Char Char Char Char Char Char Char Char Char1 Char Char Char Char"/>
    <w:basedOn w:val="1"/>
    <w:qFormat/>
    <w:uiPriority w:val="0"/>
    <w:rPr>
      <w:rFonts w:ascii="Tahoma" w:hAnsi="Tahoma"/>
      <w:sz w:val="24"/>
      <w:szCs w:val="20"/>
    </w:rPr>
  </w:style>
  <w:style w:type="paragraph" w:styleId="77">
    <w:name w:val="List Paragraph"/>
    <w:basedOn w:val="1"/>
    <w:qFormat/>
    <w:uiPriority w:val="34"/>
    <w:pPr>
      <w:ind w:firstLine="420" w:firstLineChars="200"/>
    </w:pPr>
    <w:rPr>
      <w:rFonts w:ascii="Calibri" w:hAnsi="Calibri"/>
      <w:szCs w:val="22"/>
    </w:rPr>
  </w:style>
  <w:style w:type="paragraph" w:customStyle="1" w:styleId="78">
    <w:name w:val="font5"/>
    <w:basedOn w:val="1"/>
    <w:qFormat/>
    <w:uiPriority w:val="0"/>
    <w:pPr>
      <w:widowControl/>
      <w:numPr>
        <w:ilvl w:val="0"/>
        <w:numId w:val="1"/>
      </w:numPr>
      <w:spacing w:before="100" w:beforeAutospacing="1" w:after="100" w:afterAutospacing="1"/>
      <w:ind w:left="0" w:firstLine="0"/>
      <w:jc w:val="left"/>
    </w:pPr>
    <w:rPr>
      <w:rFonts w:ascii="宋体" w:hAnsi="宋体" w:cs="Arial Unicode MS"/>
      <w:kern w:val="0"/>
      <w:sz w:val="20"/>
      <w:szCs w:val="20"/>
    </w:rPr>
  </w:style>
  <w:style w:type="paragraph" w:customStyle="1" w:styleId="79">
    <w:name w:val="表右齐"/>
    <w:basedOn w:val="1"/>
    <w:qFormat/>
    <w:uiPriority w:val="0"/>
    <w:pPr>
      <w:autoSpaceDE w:val="0"/>
      <w:autoSpaceDN w:val="0"/>
      <w:ind w:left="720" w:right="332"/>
      <w:jc w:val="right"/>
    </w:pPr>
    <w:rPr>
      <w:rFonts w:hAnsi="Arial"/>
      <w:kern w:val="0"/>
      <w:szCs w:val="20"/>
    </w:rPr>
  </w:style>
  <w:style w:type="paragraph" w:customStyle="1" w:styleId="80">
    <w:name w:val="表格文字"/>
    <w:basedOn w:val="1"/>
    <w:qFormat/>
    <w:uiPriority w:val="0"/>
    <w:pPr>
      <w:spacing w:before="25" w:after="25" w:line="240" w:lineRule="auto"/>
      <w:jc w:val="left"/>
    </w:pPr>
    <w:rPr>
      <w:rFonts w:ascii="Dutch" w:hAnsi="Dutch"/>
      <w:bCs/>
      <w:spacing w:val="10"/>
      <w:kern w:val="0"/>
      <w:sz w:val="24"/>
    </w:rPr>
  </w:style>
  <w:style w:type="character" w:styleId="81">
    <w:name w:val="Placeholder Text"/>
    <w:basedOn w:val="30"/>
    <w:unhideWhenUsed/>
    <w:qFormat/>
    <w:uiPriority w:val="99"/>
    <w:rPr>
      <w:color w:val="808080"/>
    </w:rPr>
  </w:style>
  <w:style w:type="paragraph" w:customStyle="1" w:styleId="82">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83">
    <w:name w:val="1"/>
    <w:basedOn w:val="1"/>
    <w:next w:val="1"/>
    <w:qFormat/>
    <w:uiPriority w:val="0"/>
    <w:pPr>
      <w:adjustRightInd/>
      <w:spacing w:afterLines="50" w:line="360" w:lineRule="auto"/>
      <w:ind w:firstLine="3243" w:firstLineChars="1080"/>
      <w:textAlignment w:val="auto"/>
    </w:pPr>
    <w:rPr>
      <w:rFonts w:ascii="宋体" w:hAnsi="宋体"/>
      <w:b/>
      <w:sz w:val="30"/>
      <w:szCs w:val="21"/>
    </w:rPr>
  </w:style>
  <w:style w:type="paragraph" w:customStyle="1" w:styleId="84">
    <w:name w:val="Default"/>
    <w:next w:val="22"/>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85">
    <w:name w:val="Body text|1"/>
    <w:basedOn w:val="1"/>
    <w:qFormat/>
    <w:uiPriority w:val="0"/>
    <w:pPr>
      <w:adjustRightInd/>
      <w:spacing w:line="420" w:lineRule="auto"/>
      <w:ind w:firstLine="400"/>
      <w:textAlignment w:val="auto"/>
    </w:pPr>
    <w:rPr>
      <w:rFonts w:ascii="宋体" w:hAnsi="宋体" w:cs="宋体"/>
      <w:sz w:val="22"/>
      <w:szCs w:val="22"/>
      <w:lang w:val="zh-TW" w:eastAsia="zh-TW" w:bidi="zh-TW"/>
    </w:rPr>
  </w:style>
  <w:style w:type="paragraph" w:customStyle="1" w:styleId="86">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51</Pages>
  <Words>3232</Words>
  <Characters>18427</Characters>
  <Lines>153</Lines>
  <Paragraphs>43</Paragraphs>
  <TotalTime>9</TotalTime>
  <ScaleCrop>false</ScaleCrop>
  <LinksUpToDate>false</LinksUpToDate>
  <CharactersWithSpaces>21616</CharactersWithSpaces>
  <Application>WPS Office_6.6.1.8808_F1E327BC-269C-435d-A152-05C5408002CA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2018-12-19T06:55:00Z</dcterms:created>
  <dc:creator>丁琳</dc:creator>
  <cp:lastModifiedBy>lucy</cp:lastModifiedBy>
  <cp:lastPrinted>2019-01-09T01:07:00Z</cp:lastPrinted>
  <dcterms:modified xsi:type="dcterms:W3CDTF">2025-06-09T16:51:32Z</dcterms:modified>
  <dc:title>南财采管〔2012〕3号</dc:title>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2052-6.6.1.8808</vt:lpwstr>
  </property>
  <property fmtid="{D5CDD505-2E9C-101B-9397-08002B2CF9AE}" pid="3" name="ICV">
    <vt:lpwstr>4495E8EA412E06B45B7D466872E5F3CC_43</vt:lpwstr>
  </property>
  <property fmtid="{D5CDD505-2E9C-101B-9397-08002B2CF9AE}" pid="4" name="KSOTemplateDocerSaveRecord">
    <vt:lpwstr>eyJoZGlkIjoiNzI1MzljODBiNDliMzEyMzFlZWNlN2EzYjU0N2YzMWEiLCJ1c2VySWQiOiI1NTkzNDU3NTQifQ==</vt:lpwstr>
  </property>
</Properties>
</file>